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Default="003A2E8C" w:rsidP="0041284B">
      <w:pPr>
        <w:pStyle w:val="NoSpacing"/>
        <w:jc w:val="center"/>
        <w:rPr>
          <w:rFonts w:ascii="Sylfaen" w:hAnsi="Sylfaen" w:cs="Sylfaen"/>
          <w:b/>
          <w:color w:val="2E74B5" w:themeColor="accent1" w:themeShade="BF"/>
          <w:sz w:val="28"/>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EB7135" w:rsidRDefault="00E13F52" w:rsidP="0041284B">
      <w:pPr>
        <w:pStyle w:val="NoSpacing"/>
        <w:jc w:val="center"/>
        <w:rPr>
          <w:rFonts w:ascii="Sylfaen" w:hAnsi="Sylfaen" w:cstheme="minorHAnsi"/>
          <w:b/>
          <w:sz w:val="32"/>
          <w:lang w:val="ka-GE"/>
        </w:rPr>
      </w:pPr>
      <w:r w:rsidRPr="00EB7135">
        <w:rPr>
          <w:rFonts w:ascii="Sylfaen" w:hAnsi="Sylfaen" w:cstheme="minorHAnsi"/>
          <w:b/>
          <w:sz w:val="32"/>
          <w:lang w:val="ka-GE"/>
        </w:rPr>
        <w:t>საშუალოვადიანი</w:t>
      </w:r>
      <w:r w:rsidR="00A05BA2" w:rsidRPr="00EB7135">
        <w:rPr>
          <w:rFonts w:ascii="Sylfaen" w:hAnsi="Sylfaen" w:cstheme="minorHAnsi"/>
          <w:b/>
          <w:sz w:val="32"/>
          <w:lang w:val="ka-GE"/>
        </w:rPr>
        <w:t xml:space="preserve"> პროგნოზ</w:t>
      </w:r>
      <w:r w:rsidRPr="00EB7135">
        <w:rPr>
          <w:rFonts w:ascii="Sylfaen" w:hAnsi="Sylfaen" w:cstheme="minorHAnsi"/>
          <w:b/>
          <w:sz w:val="32"/>
          <w:lang w:val="ka-GE"/>
        </w:rPr>
        <w:t>ებ</w:t>
      </w:r>
      <w:r w:rsidR="0041284B" w:rsidRPr="00EB7135">
        <w:rPr>
          <w:rFonts w:ascii="Sylfaen" w:hAnsi="Sylfaen" w:cstheme="minorHAnsi"/>
          <w:b/>
          <w:sz w:val="32"/>
          <w:lang w:val="ka-GE"/>
        </w:rPr>
        <w:t>ის შედარება</w:t>
      </w:r>
      <w:r w:rsidR="00EB7135" w:rsidRPr="00EB7135">
        <w:rPr>
          <w:rFonts w:ascii="Sylfaen" w:hAnsi="Sylfaen" w:cstheme="minorHAnsi"/>
          <w:b/>
          <w:sz w:val="32"/>
        </w:rPr>
        <w:t xml:space="preserve"> </w:t>
      </w:r>
      <w:r w:rsidR="00EB7135" w:rsidRPr="00EB7135">
        <w:rPr>
          <w:rFonts w:ascii="Sylfaen" w:hAnsi="Sylfaen" w:cstheme="minorHAnsi"/>
          <w:b/>
          <w:sz w:val="32"/>
          <w:lang w:val="ka-GE"/>
        </w:rPr>
        <w:t xml:space="preserve">და „ეკონომიკური თავისუფლების შესახებ“ საქართველოს ორგანული კანონით </w:t>
      </w:r>
      <w:r w:rsidR="00EB7135">
        <w:rPr>
          <w:rFonts w:ascii="Sylfaen" w:hAnsi="Sylfaen" w:cstheme="minorHAnsi"/>
          <w:b/>
          <w:sz w:val="32"/>
          <w:lang w:val="ka-GE"/>
        </w:rPr>
        <w:t>განსაზღვრული</w:t>
      </w:r>
      <w:r w:rsidR="00EB7135" w:rsidRPr="00EB7135">
        <w:rPr>
          <w:rFonts w:ascii="Sylfaen" w:hAnsi="Sylfaen" w:cstheme="minorHAnsi"/>
          <w:b/>
          <w:sz w:val="32"/>
          <w:lang w:val="ka-GE"/>
        </w:rPr>
        <w:t xml:space="preserve"> </w:t>
      </w:r>
      <w:r w:rsidR="00EB7135">
        <w:rPr>
          <w:rFonts w:ascii="Sylfaen" w:hAnsi="Sylfaen" w:cstheme="minorHAnsi"/>
          <w:b/>
          <w:sz w:val="32"/>
        </w:rPr>
        <w:t>ფისკალურ</w:t>
      </w:r>
      <w:r w:rsidR="00EB7135">
        <w:rPr>
          <w:rFonts w:ascii="Sylfaen" w:hAnsi="Sylfaen" w:cstheme="minorHAnsi"/>
          <w:b/>
          <w:sz w:val="32"/>
          <w:lang w:val="ka-GE"/>
        </w:rPr>
        <w:t>ი წესებით გათვალისწინებულ</w:t>
      </w:r>
      <w:r w:rsidR="00EB7135">
        <w:rPr>
          <w:rFonts w:ascii="Sylfaen" w:hAnsi="Sylfaen" w:cstheme="minorHAnsi"/>
          <w:b/>
          <w:sz w:val="32"/>
        </w:rPr>
        <w:t xml:space="preserve"> </w:t>
      </w:r>
      <w:r w:rsidR="00EB7135" w:rsidRPr="00EB7135">
        <w:rPr>
          <w:rFonts w:ascii="Sylfaen" w:hAnsi="Sylfaen" w:cstheme="minorHAnsi"/>
          <w:b/>
          <w:sz w:val="32"/>
          <w:lang w:val="ka-GE"/>
        </w:rPr>
        <w:t>ზღვრებში დაბრუნების პროგნოზი</w:t>
      </w:r>
    </w:p>
    <w:p w:rsidR="00EB7135" w:rsidRPr="00EB7135" w:rsidRDefault="00EB7135" w:rsidP="0041284B">
      <w:pPr>
        <w:pStyle w:val="NoSpacing"/>
        <w:jc w:val="center"/>
        <w:rPr>
          <w:rFonts w:cstheme="minorHAnsi"/>
          <w:b/>
          <w:sz w:val="32"/>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r>
        <w:rPr>
          <w:rFonts w:cstheme="minorHAnsi"/>
          <w:b/>
          <w:color w:val="2E74B5" w:themeColor="accent1" w:themeShade="BF"/>
          <w:sz w:val="32"/>
          <w:lang w:val="ka-GE"/>
        </w:rPr>
        <w:br w:type="page"/>
      </w:r>
    </w:p>
    <w:p w:rsidR="00EB7135" w:rsidRDefault="00EB7135">
      <w:pPr>
        <w:rPr>
          <w:rFonts w:cstheme="minorHAnsi"/>
          <w:b/>
          <w:color w:val="2E74B5" w:themeColor="accent1" w:themeShade="BF"/>
          <w:sz w:val="32"/>
          <w:lang w:val="ka-GE"/>
        </w:rPr>
      </w:pPr>
    </w:p>
    <w:p w:rsidR="00EB7135" w:rsidRDefault="00EB7135">
      <w:pPr>
        <w:rPr>
          <w:rFonts w:cstheme="minorHAnsi"/>
          <w:b/>
          <w:color w:val="2E74B5" w:themeColor="accent1" w:themeShade="BF"/>
          <w:sz w:val="32"/>
          <w:lang w:val="ka-GE"/>
        </w:rPr>
      </w:pPr>
    </w:p>
    <w:p w:rsidR="003A2E8C" w:rsidRPr="007B6B22" w:rsidRDefault="003A2E8C" w:rsidP="0041284B">
      <w:pPr>
        <w:pStyle w:val="NoSpacing"/>
        <w:jc w:val="center"/>
        <w:rPr>
          <w:rFonts w:cstheme="minorHAnsi"/>
          <w:b/>
          <w:color w:val="2E74B5" w:themeColor="accent1" w:themeShade="BF"/>
          <w:sz w:val="32"/>
          <w:lang w:val="ka-GE"/>
        </w:rPr>
      </w:pPr>
    </w:p>
    <w:p w:rsidR="003A2E8C" w:rsidRDefault="003A2E8C" w:rsidP="0041284B">
      <w:pPr>
        <w:pStyle w:val="NoSpacing"/>
        <w:jc w:val="center"/>
        <w:rPr>
          <w:rFonts w:ascii="Sylfaen" w:hAnsi="Sylfaen" w:cs="Sylfaen"/>
          <w:b/>
          <w:color w:val="2E74B5" w:themeColor="accent1" w:themeShade="BF"/>
          <w:sz w:val="28"/>
          <w:lang w:val="ka-GE"/>
        </w:rPr>
      </w:pPr>
    </w:p>
    <w:sdt>
      <w:sdtPr>
        <w:rPr>
          <w:rFonts w:asciiTheme="minorHAnsi" w:eastAsiaTheme="minorHAnsi" w:hAnsiTheme="minorHAnsi" w:cstheme="minorBidi"/>
          <w:color w:val="auto"/>
          <w:sz w:val="22"/>
          <w:szCs w:val="22"/>
        </w:rPr>
        <w:id w:val="-129628186"/>
        <w:docPartObj>
          <w:docPartGallery w:val="Table of Contents"/>
          <w:docPartUnique/>
        </w:docPartObj>
      </w:sdtPr>
      <w:sdtEndPr>
        <w:rPr>
          <w:b/>
          <w:bCs/>
          <w:noProof/>
        </w:rPr>
      </w:sdtEndPr>
      <w:sdtContent>
        <w:p w:rsidR="003A2E8C" w:rsidRPr="007B6B22" w:rsidRDefault="003A2E8C">
          <w:pPr>
            <w:pStyle w:val="TOCHeading"/>
            <w:rPr>
              <w:rFonts w:ascii="Sylfaen" w:hAnsi="Sylfaen"/>
              <w:b/>
              <w:sz w:val="28"/>
              <w:lang w:val="ka-GE"/>
            </w:rPr>
          </w:pPr>
          <w:r w:rsidRPr="007B6B22">
            <w:rPr>
              <w:rFonts w:ascii="Sylfaen" w:hAnsi="Sylfaen"/>
              <w:b/>
              <w:sz w:val="28"/>
              <w:lang w:val="ka-GE"/>
            </w:rPr>
            <w:t>შინაარსი</w:t>
          </w:r>
        </w:p>
        <w:p w:rsidR="00EB7135" w:rsidRDefault="003A2E8C">
          <w:pPr>
            <w:pStyle w:val="TOC1"/>
            <w:tabs>
              <w:tab w:val="left" w:pos="440"/>
              <w:tab w:val="right" w:leader="dot" w:pos="9890"/>
            </w:tabs>
            <w:rPr>
              <w:rFonts w:eastAsiaTheme="minorEastAsia"/>
              <w:noProof/>
            </w:rPr>
          </w:pPr>
          <w:r>
            <w:fldChar w:fldCharType="begin"/>
          </w:r>
          <w:r>
            <w:instrText xml:space="preserve"> TOC \o "1-3" \h \z \u </w:instrText>
          </w:r>
          <w:r>
            <w:fldChar w:fldCharType="separate"/>
          </w:r>
          <w:hyperlink w:anchor="_Toc83927009" w:history="1">
            <w:r w:rsidR="00EB7135" w:rsidRPr="00A46ABC">
              <w:rPr>
                <w:rStyle w:val="Hyperlink"/>
                <w:rFonts w:ascii="Sylfaen" w:hAnsi="Sylfaen" w:cs="Sylfaen"/>
                <w:b/>
                <w:noProof/>
                <w:lang w:val="ka-GE"/>
              </w:rPr>
              <w:t>1.</w:t>
            </w:r>
            <w:r w:rsidR="00EB7135">
              <w:rPr>
                <w:rFonts w:eastAsiaTheme="minorEastAsia"/>
                <w:noProof/>
              </w:rPr>
              <w:tab/>
            </w:r>
            <w:r w:rsidR="00EB7135" w:rsidRPr="00A46ABC">
              <w:rPr>
                <w:rStyle w:val="Hyperlink"/>
                <w:rFonts w:ascii="Sylfaen" w:hAnsi="Sylfaen" w:cs="Sylfaen"/>
                <w:b/>
                <w:noProof/>
                <w:lang w:val="ka-GE"/>
              </w:rPr>
              <w:t>ძირითადი</w:t>
            </w:r>
            <w:r w:rsidR="00EB7135" w:rsidRPr="00A46ABC">
              <w:rPr>
                <w:rStyle w:val="Hyperlink"/>
                <w:rFonts w:ascii="Sylfaen" w:hAnsi="Sylfaen"/>
                <w:b/>
                <w:noProof/>
                <w:lang w:val="ka-GE"/>
              </w:rPr>
              <w:t xml:space="preserve"> </w:t>
            </w:r>
            <w:r w:rsidR="00EB7135" w:rsidRPr="00A46ABC">
              <w:rPr>
                <w:rStyle w:val="Hyperlink"/>
                <w:rFonts w:ascii="Sylfaen" w:hAnsi="Sylfaen" w:cs="Sylfaen"/>
                <w:b/>
                <w:noProof/>
                <w:lang w:val="ka-GE"/>
              </w:rPr>
              <w:t>მაკროეკონომიკური</w:t>
            </w:r>
            <w:r w:rsidR="00EB7135" w:rsidRPr="00A46ABC">
              <w:rPr>
                <w:rStyle w:val="Hyperlink"/>
                <w:rFonts w:ascii="Sylfaen" w:hAnsi="Sylfaen"/>
                <w:b/>
                <w:noProof/>
                <w:lang w:val="ka-GE"/>
              </w:rPr>
              <w:t xml:space="preserve"> </w:t>
            </w:r>
            <w:r w:rsidR="00EB7135" w:rsidRPr="00A46ABC">
              <w:rPr>
                <w:rStyle w:val="Hyperlink"/>
                <w:rFonts w:ascii="Sylfaen" w:hAnsi="Sylfaen" w:cs="Sylfaen"/>
                <w:b/>
                <w:noProof/>
                <w:lang w:val="ka-GE"/>
              </w:rPr>
              <w:t>და</w:t>
            </w:r>
            <w:r w:rsidR="00EB7135" w:rsidRPr="00A46ABC">
              <w:rPr>
                <w:rStyle w:val="Hyperlink"/>
                <w:rFonts w:ascii="Sylfaen" w:hAnsi="Sylfaen"/>
                <w:b/>
                <w:noProof/>
                <w:lang w:val="ka-GE"/>
              </w:rPr>
              <w:t xml:space="preserve"> </w:t>
            </w:r>
            <w:r w:rsidR="00EB7135" w:rsidRPr="00A46ABC">
              <w:rPr>
                <w:rStyle w:val="Hyperlink"/>
                <w:rFonts w:ascii="Sylfaen" w:hAnsi="Sylfaen" w:cs="Sylfaen"/>
                <w:b/>
                <w:noProof/>
                <w:lang w:val="ka-GE"/>
              </w:rPr>
              <w:t>ფისკალური</w:t>
            </w:r>
            <w:r w:rsidR="00EB7135" w:rsidRPr="00A46ABC">
              <w:rPr>
                <w:rStyle w:val="Hyperlink"/>
                <w:rFonts w:ascii="Sylfaen" w:hAnsi="Sylfaen"/>
                <w:b/>
                <w:noProof/>
                <w:lang w:val="ka-GE"/>
              </w:rPr>
              <w:t xml:space="preserve"> </w:t>
            </w:r>
            <w:r w:rsidR="00EB7135" w:rsidRPr="00A46ABC">
              <w:rPr>
                <w:rStyle w:val="Hyperlink"/>
                <w:rFonts w:ascii="Sylfaen" w:hAnsi="Sylfaen" w:cs="Sylfaen"/>
                <w:b/>
                <w:noProof/>
                <w:lang w:val="ka-GE"/>
              </w:rPr>
              <w:t>პარამეტრები</w:t>
            </w:r>
            <w:r w:rsidR="00EB7135">
              <w:rPr>
                <w:noProof/>
                <w:webHidden/>
              </w:rPr>
              <w:tab/>
            </w:r>
            <w:r w:rsidR="00EB7135">
              <w:rPr>
                <w:noProof/>
                <w:webHidden/>
              </w:rPr>
              <w:fldChar w:fldCharType="begin"/>
            </w:r>
            <w:r w:rsidR="00EB7135">
              <w:rPr>
                <w:noProof/>
                <w:webHidden/>
              </w:rPr>
              <w:instrText xml:space="preserve"> PAGEREF _Toc83927009 \h </w:instrText>
            </w:r>
            <w:r w:rsidR="00EB7135">
              <w:rPr>
                <w:noProof/>
                <w:webHidden/>
              </w:rPr>
            </w:r>
            <w:r w:rsidR="00EB7135">
              <w:rPr>
                <w:noProof/>
                <w:webHidden/>
              </w:rPr>
              <w:fldChar w:fldCharType="separate"/>
            </w:r>
            <w:r w:rsidR="00EB7135">
              <w:rPr>
                <w:noProof/>
                <w:webHidden/>
              </w:rPr>
              <w:t>3</w:t>
            </w:r>
            <w:r w:rsidR="00EB7135">
              <w:rPr>
                <w:noProof/>
                <w:webHidden/>
              </w:rPr>
              <w:fldChar w:fldCharType="end"/>
            </w:r>
          </w:hyperlink>
        </w:p>
        <w:p w:rsidR="00EB7135" w:rsidRDefault="00EB7135">
          <w:pPr>
            <w:pStyle w:val="TOC1"/>
            <w:tabs>
              <w:tab w:val="left" w:pos="440"/>
              <w:tab w:val="right" w:leader="dot" w:pos="9890"/>
            </w:tabs>
            <w:rPr>
              <w:rFonts w:eastAsiaTheme="minorEastAsia"/>
              <w:noProof/>
            </w:rPr>
          </w:pPr>
          <w:hyperlink w:anchor="_Toc83927010" w:history="1">
            <w:r w:rsidRPr="00A46ABC">
              <w:rPr>
                <w:rStyle w:val="Hyperlink"/>
                <w:rFonts w:ascii="Sylfaen" w:hAnsi="Sylfaen" w:cs="Sylfaen"/>
                <w:b/>
                <w:noProof/>
                <w:lang w:val="ka-GE"/>
              </w:rPr>
              <w:t>2.</w:t>
            </w:r>
            <w:r>
              <w:rPr>
                <w:rFonts w:eastAsiaTheme="minorEastAsia"/>
                <w:noProof/>
              </w:rPr>
              <w:tab/>
            </w:r>
            <w:r w:rsidRPr="00A46ABC">
              <w:rPr>
                <w:rStyle w:val="Hyperlink"/>
                <w:rFonts w:ascii="Sylfaen" w:hAnsi="Sylfaen" w:cs="Sylfaen"/>
                <w:b/>
                <w:noProof/>
                <w:lang w:val="ka-GE"/>
              </w:rPr>
              <w:t>ფისკალური</w:t>
            </w:r>
            <w:r w:rsidRPr="00A46ABC">
              <w:rPr>
                <w:rStyle w:val="Hyperlink"/>
                <w:rFonts w:ascii="Sylfaen" w:hAnsi="Sylfaen"/>
                <w:b/>
                <w:noProof/>
                <w:lang w:val="ka-GE"/>
              </w:rPr>
              <w:t xml:space="preserve"> </w:t>
            </w:r>
            <w:r w:rsidRPr="00A46ABC">
              <w:rPr>
                <w:rStyle w:val="Hyperlink"/>
                <w:rFonts w:ascii="Sylfaen" w:hAnsi="Sylfaen" w:cs="Sylfaen"/>
                <w:b/>
                <w:noProof/>
                <w:lang w:val="ka-GE"/>
              </w:rPr>
              <w:t>ჩარჩო და ფისკალური წესებით გათვალისწინებულ ზღვრებში დაბრუნების პროგნოზი</w:t>
            </w:r>
            <w:r>
              <w:rPr>
                <w:noProof/>
                <w:webHidden/>
              </w:rPr>
              <w:tab/>
            </w:r>
            <w:r>
              <w:rPr>
                <w:noProof/>
                <w:webHidden/>
              </w:rPr>
              <w:fldChar w:fldCharType="begin"/>
            </w:r>
            <w:r>
              <w:rPr>
                <w:noProof/>
                <w:webHidden/>
              </w:rPr>
              <w:instrText xml:space="preserve"> PAGEREF _Toc83927010 \h </w:instrText>
            </w:r>
            <w:r>
              <w:rPr>
                <w:noProof/>
                <w:webHidden/>
              </w:rPr>
            </w:r>
            <w:r>
              <w:rPr>
                <w:noProof/>
                <w:webHidden/>
              </w:rPr>
              <w:fldChar w:fldCharType="separate"/>
            </w:r>
            <w:r>
              <w:rPr>
                <w:noProof/>
                <w:webHidden/>
              </w:rPr>
              <w:t>7</w:t>
            </w:r>
            <w:r>
              <w:rPr>
                <w:noProof/>
                <w:webHidden/>
              </w:rPr>
              <w:fldChar w:fldCharType="end"/>
            </w:r>
          </w:hyperlink>
        </w:p>
        <w:p w:rsidR="00EB7135" w:rsidRDefault="00EB7135">
          <w:pPr>
            <w:pStyle w:val="TOC2"/>
            <w:tabs>
              <w:tab w:val="right" w:leader="dot" w:pos="9890"/>
            </w:tabs>
            <w:rPr>
              <w:rFonts w:eastAsiaTheme="minorEastAsia"/>
              <w:noProof/>
            </w:rPr>
          </w:pPr>
          <w:hyperlink w:anchor="_Toc83927011" w:history="1">
            <w:r w:rsidRPr="00A46ABC">
              <w:rPr>
                <w:rStyle w:val="Hyperlink"/>
                <w:rFonts w:ascii="Sylfaen" w:hAnsi="Sylfaen"/>
                <w:noProof/>
                <w:lang w:val="ka-GE"/>
              </w:rPr>
              <w:t>2.1 ფისკალური ჩარჩოს შედარება</w:t>
            </w:r>
            <w:r>
              <w:rPr>
                <w:noProof/>
                <w:webHidden/>
              </w:rPr>
              <w:tab/>
            </w:r>
            <w:r>
              <w:rPr>
                <w:noProof/>
                <w:webHidden/>
              </w:rPr>
              <w:fldChar w:fldCharType="begin"/>
            </w:r>
            <w:r>
              <w:rPr>
                <w:noProof/>
                <w:webHidden/>
              </w:rPr>
              <w:instrText xml:space="preserve"> PAGEREF _Toc83927011 \h </w:instrText>
            </w:r>
            <w:r>
              <w:rPr>
                <w:noProof/>
                <w:webHidden/>
              </w:rPr>
            </w:r>
            <w:r>
              <w:rPr>
                <w:noProof/>
                <w:webHidden/>
              </w:rPr>
              <w:fldChar w:fldCharType="separate"/>
            </w:r>
            <w:r>
              <w:rPr>
                <w:noProof/>
                <w:webHidden/>
              </w:rPr>
              <w:t>7</w:t>
            </w:r>
            <w:r>
              <w:rPr>
                <w:noProof/>
                <w:webHidden/>
              </w:rPr>
              <w:fldChar w:fldCharType="end"/>
            </w:r>
          </w:hyperlink>
        </w:p>
        <w:p w:rsidR="00EB7135" w:rsidRDefault="00EB7135">
          <w:pPr>
            <w:pStyle w:val="TOC2"/>
            <w:tabs>
              <w:tab w:val="right" w:leader="dot" w:pos="9890"/>
            </w:tabs>
            <w:rPr>
              <w:rFonts w:eastAsiaTheme="minorEastAsia"/>
              <w:noProof/>
            </w:rPr>
          </w:pPr>
          <w:hyperlink w:anchor="_Toc83927012" w:history="1">
            <w:r w:rsidRPr="00A46ABC">
              <w:rPr>
                <w:rStyle w:val="Hyperlink"/>
                <w:rFonts w:ascii="Sylfaen" w:hAnsi="Sylfaen"/>
                <w:noProof/>
                <w:lang w:val="ka-GE"/>
              </w:rPr>
              <w:t>2.2 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ფისკალურ წესებთან</w:t>
            </w:r>
            <w:r>
              <w:rPr>
                <w:noProof/>
                <w:webHidden/>
              </w:rPr>
              <w:tab/>
            </w:r>
            <w:r>
              <w:rPr>
                <w:noProof/>
                <w:webHidden/>
              </w:rPr>
              <w:fldChar w:fldCharType="begin"/>
            </w:r>
            <w:r>
              <w:rPr>
                <w:noProof/>
                <w:webHidden/>
              </w:rPr>
              <w:instrText xml:space="preserve"> PAGEREF _Toc83927012 \h </w:instrText>
            </w:r>
            <w:r>
              <w:rPr>
                <w:noProof/>
                <w:webHidden/>
              </w:rPr>
            </w:r>
            <w:r>
              <w:rPr>
                <w:noProof/>
                <w:webHidden/>
              </w:rPr>
              <w:fldChar w:fldCharType="separate"/>
            </w:r>
            <w:r>
              <w:rPr>
                <w:noProof/>
                <w:webHidden/>
              </w:rPr>
              <w:t>13</w:t>
            </w:r>
            <w:r>
              <w:rPr>
                <w:noProof/>
                <w:webHidden/>
              </w:rPr>
              <w:fldChar w:fldCharType="end"/>
            </w:r>
          </w:hyperlink>
        </w:p>
        <w:p w:rsidR="00EB7135" w:rsidRDefault="00EB7135">
          <w:pPr>
            <w:pStyle w:val="TOC1"/>
            <w:tabs>
              <w:tab w:val="left" w:pos="440"/>
              <w:tab w:val="right" w:leader="dot" w:pos="9890"/>
            </w:tabs>
            <w:rPr>
              <w:rFonts w:eastAsiaTheme="minorEastAsia"/>
              <w:noProof/>
            </w:rPr>
          </w:pPr>
          <w:hyperlink w:anchor="_Toc83927013" w:history="1">
            <w:r w:rsidRPr="00A46ABC">
              <w:rPr>
                <w:rStyle w:val="Hyperlink"/>
                <w:rFonts w:ascii="Sylfaen" w:hAnsi="Sylfaen"/>
                <w:b/>
                <w:noProof/>
                <w:lang w:val="ka-GE"/>
              </w:rPr>
              <w:t>3.</w:t>
            </w:r>
            <w:r>
              <w:rPr>
                <w:rFonts w:eastAsiaTheme="minorEastAsia"/>
                <w:noProof/>
              </w:rPr>
              <w:tab/>
            </w:r>
            <w:r w:rsidRPr="00A46ABC">
              <w:rPr>
                <w:rStyle w:val="Hyperlink"/>
                <w:rFonts w:ascii="Sylfaen" w:hAnsi="Sylfaen" w:cs="Sylfaen"/>
                <w:b/>
                <w:noProof/>
                <w:lang w:val="ka-GE"/>
              </w:rPr>
              <w:t>მთავრობის</w:t>
            </w:r>
            <w:r w:rsidRPr="00A46ABC">
              <w:rPr>
                <w:rStyle w:val="Hyperlink"/>
                <w:rFonts w:ascii="Sylfaen" w:hAnsi="Sylfaen"/>
                <w:b/>
                <w:noProof/>
                <w:lang w:val="ka-GE"/>
              </w:rPr>
              <w:t xml:space="preserve"> ვალი</w:t>
            </w:r>
            <w:r>
              <w:rPr>
                <w:noProof/>
                <w:webHidden/>
              </w:rPr>
              <w:tab/>
            </w:r>
            <w:r>
              <w:rPr>
                <w:noProof/>
                <w:webHidden/>
              </w:rPr>
              <w:fldChar w:fldCharType="begin"/>
            </w:r>
            <w:r>
              <w:rPr>
                <w:noProof/>
                <w:webHidden/>
              </w:rPr>
              <w:instrText xml:space="preserve"> PAGEREF _Toc83927013 \h </w:instrText>
            </w:r>
            <w:r>
              <w:rPr>
                <w:noProof/>
                <w:webHidden/>
              </w:rPr>
            </w:r>
            <w:r>
              <w:rPr>
                <w:noProof/>
                <w:webHidden/>
              </w:rPr>
              <w:fldChar w:fldCharType="separate"/>
            </w:r>
            <w:r>
              <w:rPr>
                <w:noProof/>
                <w:webHidden/>
              </w:rPr>
              <w:t>16</w:t>
            </w:r>
            <w:r>
              <w:rPr>
                <w:noProof/>
                <w:webHidden/>
              </w:rPr>
              <w:fldChar w:fldCharType="end"/>
            </w:r>
          </w:hyperlink>
        </w:p>
        <w:p w:rsidR="003A2E8C" w:rsidRDefault="003A2E8C">
          <w:r>
            <w:rPr>
              <w:b/>
              <w:bCs/>
              <w:noProof/>
            </w:rPr>
            <w:fldChar w:fldCharType="end"/>
          </w:r>
        </w:p>
      </w:sdtContent>
    </w:sdt>
    <w:p w:rsidR="003A2E8C" w:rsidRDefault="003A2E8C">
      <w:pPr>
        <w:rPr>
          <w:rFonts w:ascii="Sylfaen" w:hAnsi="Sylfaen" w:cs="Sylfaen"/>
          <w:b/>
          <w:color w:val="2E74B5" w:themeColor="accent1" w:themeShade="BF"/>
          <w:sz w:val="28"/>
          <w:lang w:val="ka-GE"/>
        </w:rPr>
      </w:pPr>
    </w:p>
    <w:p w:rsidR="00C85296" w:rsidRPr="00C9780C" w:rsidRDefault="003A2E8C" w:rsidP="003A2E8C">
      <w:pPr>
        <w:rPr>
          <w:rFonts w:ascii="Sylfaen" w:hAnsi="Sylfaen" w:cs="Sylfaen"/>
          <w:b/>
          <w:color w:val="2E74B5" w:themeColor="accent1" w:themeShade="BF"/>
          <w:sz w:val="28"/>
          <w:lang w:val="ka-GE"/>
        </w:rPr>
      </w:pPr>
      <w:r>
        <w:rPr>
          <w:rFonts w:ascii="Sylfaen" w:hAnsi="Sylfaen" w:cs="Sylfaen"/>
          <w:b/>
          <w:color w:val="2E74B5" w:themeColor="accent1" w:themeShade="BF"/>
          <w:sz w:val="28"/>
          <w:lang w:val="ka-GE"/>
        </w:rPr>
        <w:br w:type="page"/>
      </w: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t xml:space="preserve"> </w:t>
      </w:r>
      <w:bookmarkStart w:id="0" w:name="_Toc83927009"/>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7D46C3" w:rsidRPr="00C9780C" w:rsidRDefault="00D968E5" w:rsidP="00711FD0">
      <w:pPr>
        <w:pStyle w:val="NoSpacing"/>
        <w:spacing w:line="276" w:lineRule="auto"/>
        <w:ind w:firstLine="720"/>
        <w:jc w:val="both"/>
        <w:rPr>
          <w:rFonts w:ascii="Sylfaen" w:hAnsi="Sylfaen"/>
          <w:lang w:val="ka-GE"/>
        </w:rPr>
      </w:pPr>
      <w:r w:rsidRPr="00C9780C">
        <w:rPr>
          <w:rFonts w:ascii="Sylfaen" w:hAnsi="Sylfaen"/>
          <w:lang w:val="ka-GE"/>
        </w:rPr>
        <w:t xml:space="preserve">წინამდებარე პროგნოზი, მომზადდა </w:t>
      </w:r>
      <w:r w:rsidR="006E3687" w:rsidRPr="00C9780C">
        <w:rPr>
          <w:rFonts w:ascii="Sylfaen" w:hAnsi="Sylfaen"/>
          <w:lang w:val="ka-GE"/>
        </w:rPr>
        <w:t xml:space="preserve">„საქართველოს </w:t>
      </w:r>
      <w:r w:rsidR="00702821" w:rsidRPr="00C9780C">
        <w:rPr>
          <w:rFonts w:ascii="Sylfaen" w:hAnsi="Sylfaen"/>
          <w:lang w:val="ka-GE"/>
        </w:rPr>
        <w:t>202</w:t>
      </w:r>
      <w:r w:rsidR="00702821">
        <w:rPr>
          <w:rFonts w:ascii="Sylfaen" w:hAnsi="Sylfaen"/>
          <w:lang w:val="ka-GE"/>
        </w:rPr>
        <w:t>2</w:t>
      </w:r>
      <w:r w:rsidR="00702821" w:rsidRPr="00C9780C">
        <w:rPr>
          <w:rFonts w:ascii="Sylfaen" w:hAnsi="Sylfaen"/>
          <w:lang w:val="ka-GE"/>
        </w:rPr>
        <w:t xml:space="preserve"> </w:t>
      </w:r>
      <w:r w:rsidRPr="00C9780C">
        <w:rPr>
          <w:rFonts w:ascii="Sylfaen" w:hAnsi="Sylfaen"/>
          <w:lang w:val="ka-GE"/>
        </w:rPr>
        <w:t xml:space="preserve">წლის </w:t>
      </w:r>
      <w:r w:rsidR="006E3687" w:rsidRPr="00C9780C">
        <w:rPr>
          <w:rFonts w:ascii="Sylfaen" w:hAnsi="Sylfaen"/>
          <w:lang w:val="ka-GE"/>
        </w:rPr>
        <w:t xml:space="preserve">სახელმწიფო </w:t>
      </w:r>
      <w:r w:rsidRPr="00C9780C">
        <w:rPr>
          <w:rFonts w:ascii="Sylfaen" w:hAnsi="Sylfaen"/>
          <w:lang w:val="ka-GE"/>
        </w:rPr>
        <w:t xml:space="preserve">ბიუჯეტის </w:t>
      </w:r>
      <w:r w:rsidR="006E3687" w:rsidRPr="00C9780C">
        <w:rPr>
          <w:rFonts w:ascii="Sylfaen" w:hAnsi="Sylfaen"/>
          <w:lang w:val="ka-GE"/>
        </w:rPr>
        <w:t xml:space="preserve">შესახებ“ საქართველოს კანონის </w:t>
      </w:r>
      <w:r w:rsidR="00702386">
        <w:rPr>
          <w:rFonts w:ascii="Sylfaen" w:hAnsi="Sylfaen"/>
          <w:lang w:val="ka-GE"/>
        </w:rPr>
        <w:t>პროექტთან ერთად</w:t>
      </w:r>
      <w:r w:rsidRPr="00C9780C">
        <w:rPr>
          <w:rFonts w:ascii="Sylfaen" w:hAnsi="Sylfaen"/>
          <w:lang w:val="ka-GE"/>
        </w:rPr>
        <w:t xml:space="preserve"> და წარმოადგენს </w:t>
      </w:r>
      <w:r w:rsidR="000620EC" w:rsidRPr="00C9780C">
        <w:rPr>
          <w:rFonts w:ascii="Sylfaen" w:hAnsi="Sylfaen"/>
          <w:lang w:val="ka-GE"/>
        </w:rPr>
        <w:t xml:space="preserve">2020 წლის ბოლოს </w:t>
      </w:r>
      <w:r w:rsidRPr="00C9780C">
        <w:rPr>
          <w:rFonts w:ascii="Sylfaen" w:hAnsi="Sylfaen"/>
          <w:lang w:val="ka-GE"/>
        </w:rPr>
        <w:t>20</w:t>
      </w:r>
      <w:r w:rsidR="003A51E0" w:rsidRPr="00C9780C">
        <w:rPr>
          <w:rFonts w:ascii="Sylfaen" w:hAnsi="Sylfaen"/>
          <w:lang w:val="ka-GE"/>
        </w:rPr>
        <w:t>2</w:t>
      </w:r>
      <w:r w:rsidR="006E3687" w:rsidRPr="00C9780C">
        <w:rPr>
          <w:rFonts w:ascii="Sylfaen" w:hAnsi="Sylfaen"/>
          <w:lang w:val="ka-GE"/>
        </w:rPr>
        <w:t>1</w:t>
      </w:r>
      <w:r w:rsidRPr="00C9780C">
        <w:rPr>
          <w:rFonts w:ascii="Sylfaen" w:hAnsi="Sylfaen"/>
          <w:lang w:val="ka-GE"/>
        </w:rPr>
        <w:t xml:space="preserve"> წლის </w:t>
      </w:r>
      <w:r w:rsidR="006E3687" w:rsidRPr="00C9780C">
        <w:rPr>
          <w:rFonts w:ascii="Sylfaen" w:hAnsi="Sylfaen"/>
          <w:lang w:val="ka-GE"/>
        </w:rPr>
        <w:t xml:space="preserve">სახელმწიფო </w:t>
      </w:r>
      <w:r w:rsidRPr="00C9780C">
        <w:rPr>
          <w:rFonts w:ascii="Sylfaen" w:hAnsi="Sylfaen"/>
          <w:lang w:val="ka-GE"/>
        </w:rPr>
        <w:t>ბიუჯეტ</w:t>
      </w:r>
      <w:r w:rsidR="000620EC" w:rsidRPr="00C9780C">
        <w:rPr>
          <w:rFonts w:ascii="Sylfaen" w:hAnsi="Sylfaen"/>
          <w:lang w:val="ka-GE"/>
        </w:rPr>
        <w:t xml:space="preserve">ის </w:t>
      </w:r>
      <w:r w:rsidR="00984BC1" w:rsidRPr="00C9780C">
        <w:rPr>
          <w:rFonts w:ascii="Sylfaen" w:hAnsi="Sylfaen"/>
          <w:lang w:val="ka-GE"/>
        </w:rPr>
        <w:t>თავდაპირველ</w:t>
      </w:r>
      <w:r w:rsidR="000620EC" w:rsidRPr="00C9780C">
        <w:rPr>
          <w:rFonts w:ascii="Sylfaen" w:hAnsi="Sylfaen"/>
          <w:lang w:val="ka-GE"/>
        </w:rPr>
        <w:t xml:space="preserve"> კანონზე</w:t>
      </w:r>
      <w:r w:rsidRPr="00C9780C">
        <w:rPr>
          <w:rFonts w:ascii="Sylfaen" w:hAnsi="Sylfaen"/>
          <w:lang w:val="ka-GE"/>
        </w:rPr>
        <w:t xml:space="preserve"> თანდართული </w:t>
      </w:r>
      <w:r w:rsidR="00AF23C1" w:rsidRPr="00C9780C">
        <w:rPr>
          <w:rFonts w:ascii="Sylfaen" w:hAnsi="Sylfaen"/>
          <w:lang w:val="ka-GE"/>
        </w:rPr>
        <w:t>„</w:t>
      </w:r>
      <w:r w:rsidRPr="00C9780C">
        <w:rPr>
          <w:rFonts w:ascii="Sylfaen" w:hAnsi="Sylfaen"/>
          <w:lang w:val="ka-GE"/>
        </w:rPr>
        <w:t>20</w:t>
      </w:r>
      <w:r w:rsidR="003A51E0" w:rsidRPr="00C9780C">
        <w:rPr>
          <w:rFonts w:ascii="Sylfaen" w:hAnsi="Sylfaen"/>
          <w:lang w:val="ka-GE"/>
        </w:rPr>
        <w:t>2</w:t>
      </w:r>
      <w:r w:rsidR="000620EC" w:rsidRPr="00C9780C">
        <w:rPr>
          <w:rFonts w:ascii="Sylfaen" w:hAnsi="Sylfaen"/>
          <w:lang w:val="ka-GE"/>
        </w:rPr>
        <w:t>1</w:t>
      </w:r>
      <w:r w:rsidRPr="00C9780C">
        <w:rPr>
          <w:rFonts w:ascii="Sylfaen" w:hAnsi="Sylfaen"/>
          <w:lang w:val="ka-GE"/>
        </w:rPr>
        <w:t>-202</w:t>
      </w:r>
      <w:r w:rsidR="000620EC" w:rsidRPr="00C9780C">
        <w:rPr>
          <w:rFonts w:ascii="Sylfaen" w:hAnsi="Sylfaen"/>
          <w:lang w:val="ka-GE"/>
        </w:rPr>
        <w:t>4</w:t>
      </w:r>
      <w:r w:rsidRPr="00C9780C">
        <w:rPr>
          <w:rFonts w:ascii="Sylfaen" w:hAnsi="Sylfaen"/>
          <w:lang w:val="ka-GE"/>
        </w:rPr>
        <w:t xml:space="preserve"> წლების ქვეყნის ძირითადი მონაცემების და მიმართულებების </w:t>
      </w:r>
      <w:r w:rsidR="00AF23C1" w:rsidRPr="00C9780C">
        <w:rPr>
          <w:rFonts w:ascii="Sylfaen" w:hAnsi="Sylfaen"/>
          <w:lang w:val="ka-GE"/>
        </w:rPr>
        <w:t>დოკუმენტით“</w:t>
      </w:r>
      <w:r w:rsidRPr="00C9780C">
        <w:rPr>
          <w:rFonts w:ascii="Sylfaen" w:hAnsi="Sylfaen"/>
          <w:lang w:val="ka-GE"/>
        </w:rPr>
        <w:t xml:space="preserve"> </w:t>
      </w:r>
      <w:r w:rsidR="00AF23C1" w:rsidRPr="00C9780C">
        <w:rPr>
          <w:rFonts w:ascii="Sylfaen" w:hAnsi="Sylfaen"/>
          <w:lang w:val="ka-GE"/>
        </w:rPr>
        <w:t>წარმოდგენილ</w:t>
      </w:r>
      <w:r w:rsidR="00984BC1" w:rsidRPr="00C9780C">
        <w:rPr>
          <w:rFonts w:ascii="Sylfaen" w:hAnsi="Sylfaen"/>
          <w:lang w:val="ka-GE"/>
        </w:rPr>
        <w:t>ი</w:t>
      </w:r>
      <w:r w:rsidR="00AF23C1" w:rsidRPr="00C9780C">
        <w:rPr>
          <w:rFonts w:ascii="Sylfaen" w:hAnsi="Sylfaen"/>
          <w:lang w:val="ka-GE"/>
        </w:rPr>
        <w:t xml:space="preserve">  საშუალოვადიანი ეკონომიკურ და ფისკალურ</w:t>
      </w:r>
      <w:r w:rsidR="00702386">
        <w:rPr>
          <w:rFonts w:ascii="Sylfaen" w:hAnsi="Sylfaen"/>
          <w:lang w:val="ka-GE"/>
        </w:rPr>
        <w:t>ი</w:t>
      </w:r>
      <w:r w:rsidR="00AF23C1" w:rsidRPr="00C9780C">
        <w:rPr>
          <w:rFonts w:ascii="Sylfaen" w:hAnsi="Sylfaen"/>
          <w:lang w:val="ka-GE"/>
        </w:rPr>
        <w:t xml:space="preserve"> პარამეტრების</w:t>
      </w:r>
      <w:r w:rsidR="00702386">
        <w:rPr>
          <w:rFonts w:ascii="Sylfaen" w:hAnsi="Sylfaen"/>
          <w:lang w:val="ka-GE"/>
        </w:rPr>
        <w:t xml:space="preserve"> </w:t>
      </w:r>
      <w:r w:rsidR="00702386" w:rsidRPr="00C9780C">
        <w:rPr>
          <w:rFonts w:ascii="Sylfaen" w:hAnsi="Sylfaen"/>
          <w:lang w:val="ka-GE"/>
        </w:rPr>
        <w:t>2022-2025 წლების</w:t>
      </w:r>
      <w:r w:rsidRPr="00C9780C">
        <w:rPr>
          <w:rFonts w:ascii="Sylfaen" w:hAnsi="Sylfaen"/>
          <w:lang w:val="ka-GE"/>
        </w:rPr>
        <w:t xml:space="preserve"> პროგნოზ</w:t>
      </w:r>
      <w:r w:rsidR="00AF23C1" w:rsidRPr="00C9780C">
        <w:rPr>
          <w:rFonts w:ascii="Sylfaen" w:hAnsi="Sylfaen"/>
          <w:lang w:val="ka-GE"/>
        </w:rPr>
        <w:t>ებ</w:t>
      </w:r>
      <w:r w:rsidR="00C75BD8" w:rsidRPr="00C9780C">
        <w:rPr>
          <w:rFonts w:ascii="Sylfaen" w:hAnsi="Sylfaen"/>
          <w:lang w:val="ka-GE"/>
        </w:rPr>
        <w:t>თან</w:t>
      </w:r>
      <w:r w:rsidR="00AF23C1" w:rsidRPr="00C9780C">
        <w:rPr>
          <w:rFonts w:ascii="Sylfaen" w:hAnsi="Sylfaen"/>
          <w:lang w:val="ka-GE"/>
        </w:rPr>
        <w:t xml:space="preserve"> შედარებით ანალიზს</w:t>
      </w:r>
      <w:r w:rsidR="005025C2" w:rsidRPr="00C9780C">
        <w:rPr>
          <w:rFonts w:ascii="Sylfaen" w:hAnsi="Sylfaen"/>
          <w:lang w:val="ka-GE"/>
        </w:rPr>
        <w:t>.</w:t>
      </w:r>
    </w:p>
    <w:p w:rsidR="00984BC1" w:rsidRPr="00C9780C" w:rsidRDefault="00B429B2" w:rsidP="00984BC1">
      <w:pPr>
        <w:pStyle w:val="NoSpacing"/>
        <w:tabs>
          <w:tab w:val="left" w:pos="709"/>
        </w:tabs>
        <w:spacing w:line="276" w:lineRule="auto"/>
        <w:ind w:firstLine="709"/>
        <w:jc w:val="both"/>
        <w:rPr>
          <w:rFonts w:ascii="Sylfaen" w:hAnsi="Sylfaen"/>
          <w:lang w:val="ka-GE"/>
        </w:rPr>
      </w:pPr>
      <w:r w:rsidRPr="00C9780C">
        <w:rPr>
          <w:rFonts w:ascii="Sylfaen" w:hAnsi="Sylfaen"/>
          <w:lang w:val="ka-GE"/>
        </w:rPr>
        <w:tab/>
      </w:r>
      <w:r w:rsidR="002026E6" w:rsidRPr="00C9780C">
        <w:rPr>
          <w:rFonts w:ascii="Sylfaen" w:hAnsi="Sylfaen"/>
          <w:lang w:val="ka-GE"/>
        </w:rPr>
        <w:t>2020 წელს ახალი კორონავირუსის</w:t>
      </w:r>
      <w:r w:rsidR="00984BC1" w:rsidRPr="00C9780C">
        <w:rPr>
          <w:rFonts w:ascii="Sylfaen" w:hAnsi="Sylfaen"/>
          <w:lang w:val="ka-GE"/>
        </w:rPr>
        <w:t xml:space="preserve"> (</w:t>
      </w:r>
      <w:r w:rsidR="00984BC1" w:rsidRPr="00C9780C">
        <w:rPr>
          <w:rFonts w:ascii="Sylfaen" w:hAnsi="Sylfaen"/>
          <w:lang w:val="en-GB"/>
        </w:rPr>
        <w:t>COVID-19)</w:t>
      </w:r>
      <w:r w:rsidR="002026E6" w:rsidRPr="00C9780C">
        <w:rPr>
          <w:rFonts w:ascii="Sylfaen" w:hAnsi="Sylfaen"/>
          <w:lang w:val="ka-GE"/>
        </w:rPr>
        <w:t xml:space="preserve"> გავრცელებამ მნიშვნელოვანი რყევები გამოიწვია გლობალურ ეკონომიკაში</w:t>
      </w:r>
      <w:r w:rsidRPr="00C9780C">
        <w:rPr>
          <w:rFonts w:ascii="Sylfaen" w:hAnsi="Sylfaen"/>
          <w:lang w:val="ka-GE"/>
        </w:rPr>
        <w:t xml:space="preserve"> </w:t>
      </w:r>
      <w:r w:rsidR="002026E6" w:rsidRPr="00C9780C">
        <w:rPr>
          <w:rFonts w:ascii="Sylfaen" w:hAnsi="Sylfaen"/>
          <w:lang w:val="ka-GE"/>
        </w:rPr>
        <w:t>და</w:t>
      </w:r>
      <w:r w:rsidRPr="00C9780C">
        <w:rPr>
          <w:rFonts w:ascii="Sylfaen" w:hAnsi="Sylfaen"/>
          <w:lang w:val="ka-GE"/>
        </w:rPr>
        <w:t xml:space="preserve">  2020</w:t>
      </w:r>
      <w:r w:rsidR="002026E6" w:rsidRPr="00C9780C">
        <w:rPr>
          <w:rFonts w:ascii="Sylfaen" w:hAnsi="Sylfaen"/>
          <w:lang w:val="ka-GE"/>
        </w:rPr>
        <w:t xml:space="preserve">-2024 წლების პროგნოზები რამდენჯერმე შეიცვალა. </w:t>
      </w:r>
      <w:r w:rsidR="000E4929">
        <w:rPr>
          <w:rFonts w:ascii="Sylfaen" w:hAnsi="Sylfaen"/>
          <w:lang w:val="ka-GE"/>
        </w:rPr>
        <w:t>საბოლოოდ</w:t>
      </w:r>
      <w:r w:rsidRPr="00C9780C">
        <w:rPr>
          <w:rFonts w:ascii="Sylfaen" w:hAnsi="Sylfaen"/>
          <w:lang w:val="ka-GE"/>
        </w:rPr>
        <w:t xml:space="preserve"> 2020 წელს რეალური ეკონომიკური კლება დაფიქსირდა 6,2%-ის ოდენობით. </w:t>
      </w:r>
      <w:r w:rsidR="00014376" w:rsidRPr="00C9780C">
        <w:rPr>
          <w:rFonts w:ascii="Sylfaen" w:hAnsi="Sylfaen"/>
          <w:lang w:val="ka-GE"/>
        </w:rPr>
        <w:t xml:space="preserve">2020 წლის ნოემბერში, პროგნოზების განახლებისას განხორციელებული ცვლილებები გამოწვეული იყო ძირითადად </w:t>
      </w:r>
      <w:r w:rsidR="00014376" w:rsidRPr="00C9780C">
        <w:rPr>
          <w:rFonts w:ascii="Sylfaen" w:hAnsi="Sylfaen"/>
        </w:rPr>
        <w:t xml:space="preserve">2020 </w:t>
      </w:r>
      <w:r w:rsidR="00014376" w:rsidRPr="00C9780C">
        <w:rPr>
          <w:rFonts w:ascii="Sylfaen" w:hAnsi="Sylfaen"/>
          <w:lang w:val="ka-GE"/>
        </w:rPr>
        <w:t>წლის მეოთხე კვარტალში განვითარებული პანდემიის მეორე ტალღით, რომელიც თავისი შედეგებით მნიშვნ</w:t>
      </w:r>
      <w:r w:rsidR="00984BC1" w:rsidRPr="00C9780C">
        <w:rPr>
          <w:rFonts w:ascii="Sylfaen" w:hAnsi="Sylfaen"/>
          <w:lang w:val="ka-GE"/>
        </w:rPr>
        <w:t>ე</w:t>
      </w:r>
      <w:r w:rsidR="00014376" w:rsidRPr="00C9780C">
        <w:rPr>
          <w:rFonts w:ascii="Sylfaen" w:hAnsi="Sylfaen"/>
          <w:lang w:val="ka-GE"/>
        </w:rPr>
        <w:t xml:space="preserve">ლოვნად ნეგატიური აღმოჩნდა როგორც ჯანდაცვის, ასევე ეკონომიკური მიმართულებით. მეორე ტალღის განვითარებას მოყვა </w:t>
      </w:r>
      <w:r w:rsidR="000E4929">
        <w:rPr>
          <w:rFonts w:ascii="Sylfaen" w:hAnsi="Sylfaen"/>
          <w:lang w:val="ka-GE"/>
        </w:rPr>
        <w:t>დამატებითი</w:t>
      </w:r>
      <w:r w:rsidR="00014376" w:rsidRPr="00C9780C">
        <w:rPr>
          <w:rFonts w:ascii="Sylfaen" w:hAnsi="Sylfaen"/>
          <w:lang w:val="ka-GE"/>
        </w:rPr>
        <w:t xml:space="preserve"> შემზღუდავი ღონისძიებები. გამომდინარე იქიდან, რომ ნოემბრის მდგომარე</w:t>
      </w:r>
      <w:r w:rsidR="00984BC1" w:rsidRPr="00C9780C">
        <w:rPr>
          <w:rFonts w:ascii="Sylfaen" w:hAnsi="Sylfaen"/>
          <w:lang w:val="ka-GE"/>
        </w:rPr>
        <w:t>ო</w:t>
      </w:r>
      <w:r w:rsidR="00014376" w:rsidRPr="00C9780C">
        <w:rPr>
          <w:rFonts w:ascii="Sylfaen" w:hAnsi="Sylfaen"/>
          <w:lang w:val="ka-GE"/>
        </w:rPr>
        <w:t xml:space="preserve">ბით ჯერ კიდევ არ იყო მკაფიო სურათი </w:t>
      </w:r>
      <w:r w:rsidR="00984BC1" w:rsidRPr="00C9780C">
        <w:rPr>
          <w:rFonts w:ascii="Sylfaen" w:hAnsi="Sylfaen"/>
          <w:lang w:val="ka-GE"/>
        </w:rPr>
        <w:t>ვაქცი</w:t>
      </w:r>
      <w:r w:rsidR="00014376" w:rsidRPr="00C9780C">
        <w:rPr>
          <w:rFonts w:ascii="Sylfaen" w:hAnsi="Sylfaen"/>
          <w:lang w:val="ka-GE"/>
        </w:rPr>
        <w:t>ნ</w:t>
      </w:r>
      <w:r w:rsidR="00984BC1" w:rsidRPr="00C9780C">
        <w:rPr>
          <w:rFonts w:ascii="Sylfaen" w:hAnsi="Sylfaen"/>
          <w:lang w:val="ka-GE"/>
        </w:rPr>
        <w:t>ა</w:t>
      </w:r>
      <w:r w:rsidR="00014376" w:rsidRPr="00C9780C">
        <w:rPr>
          <w:rFonts w:ascii="Sylfaen" w:hAnsi="Sylfaen"/>
          <w:lang w:val="ka-GE"/>
        </w:rPr>
        <w:t>ციის პერსპექტივებთან დაკავშირებით, ხოლო ვირუსის გავრცელების ტემპები მთელს მსოფლიოში გაცილებით აღემატებოდა პირვ</w:t>
      </w:r>
      <w:r w:rsidR="00984BC1" w:rsidRPr="00C9780C">
        <w:rPr>
          <w:rFonts w:ascii="Sylfaen" w:hAnsi="Sylfaen"/>
          <w:lang w:val="ka-GE"/>
        </w:rPr>
        <w:t>ე</w:t>
      </w:r>
      <w:r w:rsidR="00014376" w:rsidRPr="00C9780C">
        <w:rPr>
          <w:rFonts w:ascii="Sylfaen" w:hAnsi="Sylfaen"/>
          <w:lang w:val="ka-GE"/>
        </w:rPr>
        <w:t xml:space="preserve">ლი ტალღის ტემპებს, ეკონომიკის აღდგენის პერსპექტივა დაბალი </w:t>
      </w:r>
      <w:r w:rsidR="000E4929">
        <w:rPr>
          <w:rFonts w:ascii="Sylfaen" w:hAnsi="Sylfaen"/>
          <w:lang w:val="ka-GE"/>
        </w:rPr>
        <w:t>ალბათობით</w:t>
      </w:r>
      <w:r w:rsidR="00014376" w:rsidRPr="00C9780C">
        <w:rPr>
          <w:rFonts w:ascii="Sylfaen" w:hAnsi="Sylfaen"/>
          <w:lang w:val="ka-GE"/>
        </w:rPr>
        <w:t xml:space="preserve"> შეფასდა. </w:t>
      </w:r>
      <w:r w:rsidR="002026E6" w:rsidRPr="00C9780C">
        <w:rPr>
          <w:rFonts w:ascii="Sylfaen" w:hAnsi="Sylfaen"/>
          <w:lang w:val="ka-GE"/>
        </w:rPr>
        <w:t>2020 წლის</w:t>
      </w:r>
      <w:r w:rsidR="00984BC1" w:rsidRPr="00C9780C">
        <w:rPr>
          <w:rFonts w:ascii="Sylfaen" w:hAnsi="Sylfaen"/>
          <w:lang w:val="ka-GE"/>
        </w:rPr>
        <w:t xml:space="preserve"> </w:t>
      </w:r>
      <w:r w:rsidR="002026E6" w:rsidRPr="00C9780C">
        <w:rPr>
          <w:rFonts w:ascii="Sylfaen" w:hAnsi="Sylfaen"/>
          <w:lang w:val="ka-GE"/>
        </w:rPr>
        <w:t>ბოლოსთვის არსებული ვითარების გათვალისწინებით</w:t>
      </w:r>
      <w:r w:rsidR="00984BC1" w:rsidRPr="00C9780C">
        <w:rPr>
          <w:rFonts w:ascii="Sylfaen" w:hAnsi="Sylfaen"/>
          <w:lang w:val="ka-GE"/>
        </w:rPr>
        <w:t>,</w:t>
      </w:r>
      <w:r w:rsidR="002026E6" w:rsidRPr="00C9780C">
        <w:rPr>
          <w:rFonts w:ascii="Sylfaen" w:hAnsi="Sylfaen"/>
          <w:lang w:val="ka-GE"/>
        </w:rPr>
        <w:t xml:space="preserve">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w:t>
      </w:r>
    </w:p>
    <w:p w:rsidR="00B429B2" w:rsidRPr="00C9780C" w:rsidRDefault="00B429B2" w:rsidP="00984BC1">
      <w:pPr>
        <w:pStyle w:val="NoSpacing"/>
        <w:tabs>
          <w:tab w:val="left" w:pos="709"/>
        </w:tabs>
        <w:spacing w:line="276" w:lineRule="auto"/>
        <w:ind w:firstLine="709"/>
        <w:jc w:val="both"/>
        <w:rPr>
          <w:rFonts w:ascii="Sylfaen" w:hAnsi="Sylfaen"/>
          <w:lang w:val="ka-GE"/>
        </w:rPr>
      </w:pPr>
      <w:r w:rsidRPr="00C9780C">
        <w:rPr>
          <w:rFonts w:ascii="Sylfaen" w:hAnsi="Sylfaen"/>
          <w:lang w:val="ka-GE"/>
        </w:rPr>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ეკონომიკური ზრდის მაჩვენებელმა აპრილში 44,8% შეადგინა. მაღალი ეკონომიკური მაჩვენებლები შენარჩუნდა </w:t>
      </w:r>
      <w:r w:rsidR="00702821">
        <w:rPr>
          <w:rFonts w:ascii="Sylfaen" w:hAnsi="Sylfaen"/>
          <w:lang w:val="ka-GE"/>
        </w:rPr>
        <w:t xml:space="preserve"> მომდევნო თვეებშიც და </w:t>
      </w:r>
      <w:r w:rsidRPr="00C9780C">
        <w:rPr>
          <w:rFonts w:ascii="Sylfaen" w:hAnsi="Sylfaen"/>
          <w:lang w:val="ka-GE"/>
        </w:rPr>
        <w:t xml:space="preserve"> წინასწარი მონაცემებით </w:t>
      </w:r>
      <w:r w:rsidR="00702386">
        <w:rPr>
          <w:rFonts w:ascii="Sylfaen" w:hAnsi="Sylfaen"/>
          <w:lang w:val="ka-GE"/>
        </w:rPr>
        <w:t>8</w:t>
      </w:r>
      <w:r w:rsidRPr="00C9780C">
        <w:rPr>
          <w:rFonts w:ascii="Sylfaen" w:hAnsi="Sylfaen"/>
          <w:lang w:val="ka-GE"/>
        </w:rPr>
        <w:t xml:space="preserve"> თვის ეკონომიკური ზრდა </w:t>
      </w:r>
      <w:r w:rsidR="00702386">
        <w:rPr>
          <w:rFonts w:ascii="Sylfaen" w:hAnsi="Sylfaen"/>
          <w:lang w:val="ka-GE"/>
        </w:rPr>
        <w:t>12.0</w:t>
      </w:r>
      <w:r w:rsidRPr="00C9780C">
        <w:rPr>
          <w:rFonts w:ascii="Sylfaen" w:hAnsi="Sylfaen"/>
          <w:lang w:val="ka-GE"/>
        </w:rPr>
        <w:t>%-ს შეადგენს.</w:t>
      </w:r>
      <w:r w:rsidR="00702821">
        <w:rPr>
          <w:rFonts w:ascii="Sylfaen" w:hAnsi="Sylfaen"/>
          <w:lang w:val="ka-GE"/>
        </w:rPr>
        <w:t xml:space="preserve"> აღსანიშნავია, რომ </w:t>
      </w:r>
      <w:r w:rsidR="00702386">
        <w:rPr>
          <w:rFonts w:ascii="Sylfaen" w:hAnsi="Sylfaen"/>
          <w:lang w:val="ka-GE"/>
        </w:rPr>
        <w:t>მნიშვნე</w:t>
      </w:r>
      <w:r w:rsidR="00702821">
        <w:rPr>
          <w:rFonts w:ascii="Sylfaen" w:hAnsi="Sylfaen"/>
          <w:lang w:val="ka-GE"/>
        </w:rPr>
        <w:t>ლოვანი ზრდა ასევე შეინიშნება 2019 წელ</w:t>
      </w:r>
      <w:r w:rsidR="00680339">
        <w:rPr>
          <w:rFonts w:ascii="Sylfaen" w:hAnsi="Sylfaen"/>
          <w:lang w:val="ka-GE"/>
        </w:rPr>
        <w:t>თ</w:t>
      </w:r>
      <w:r w:rsidR="00702821">
        <w:rPr>
          <w:rFonts w:ascii="Sylfaen" w:hAnsi="Sylfaen"/>
          <w:lang w:val="ka-GE"/>
        </w:rPr>
        <w:t>ან შედარებით, რადგან მეორე კვარტლის მონაცემებით, 2021 წელს ეკონომიკური ზრდა 2019 წლის ანალოგიურ პერიოდთან შედარებით გაუტოლდა</w:t>
      </w:r>
      <w:r w:rsidR="00702386">
        <w:rPr>
          <w:rFonts w:ascii="Sylfaen" w:hAnsi="Sylfaen"/>
          <w:lang w:val="ka-GE"/>
        </w:rPr>
        <w:t xml:space="preserve"> 12.5</w:t>
      </w:r>
      <w:r w:rsidR="00702821">
        <w:rPr>
          <w:rFonts w:ascii="Sylfaen" w:hAnsi="Sylfaen"/>
          <w:lang w:val="ka-GE"/>
        </w:rPr>
        <w:t xml:space="preserve"> პროცენტს.</w:t>
      </w:r>
    </w:p>
    <w:p w:rsidR="00B429B2" w:rsidRPr="00C9780C" w:rsidRDefault="00B429B2" w:rsidP="00292E98">
      <w:pPr>
        <w:pStyle w:val="ListParagraph"/>
        <w:spacing w:after="0"/>
        <w:ind w:left="0" w:firstLine="709"/>
        <w:jc w:val="both"/>
        <w:rPr>
          <w:rFonts w:ascii="Sylfaen" w:hAnsi="Sylfaen"/>
          <w:lang w:val="ka-GE"/>
        </w:rPr>
      </w:pPr>
      <w:r w:rsidRPr="00C9780C">
        <w:rPr>
          <w:rFonts w:ascii="Sylfaen" w:hAnsi="Sylfaen"/>
          <w:lang w:val="ka-GE"/>
        </w:rPr>
        <w:tab/>
        <w:t xml:space="preserve">დადებითი ეკონომიკური ტენდენციების გათვალისწინებით, საქართველოს საბიუჯეტო კოდექსის 34-ე მუხლის მე-4 ნაწილის საფუძველზე, საქართველოს პარლამენტისათვის მაისში წარდგენილ 2022-2025 წლების ძირითადი მაკროეკონომიკური პარამეტრების </w:t>
      </w:r>
      <w:r w:rsidR="00246230" w:rsidRPr="00C9780C">
        <w:rPr>
          <w:rFonts w:ascii="Sylfaen" w:hAnsi="Sylfaen"/>
          <w:lang w:val="ka-GE"/>
        </w:rPr>
        <w:t xml:space="preserve">წინაწარ </w:t>
      </w:r>
      <w:r w:rsidRPr="00C9780C">
        <w:rPr>
          <w:rFonts w:ascii="Sylfaen" w:hAnsi="Sylfaen"/>
          <w:lang w:val="ka-GE"/>
        </w:rPr>
        <w:t>პროგნოზებში 2021 წლის ეკონომიკური ზრდის პროგნოზი</w:t>
      </w:r>
      <w:r w:rsidR="00246230" w:rsidRPr="00C9780C">
        <w:rPr>
          <w:rStyle w:val="FootnoteReference"/>
          <w:rFonts w:ascii="Sylfaen" w:hAnsi="Sylfaen"/>
          <w:lang w:val="ka-GE"/>
        </w:rPr>
        <w:footnoteReference w:id="1"/>
      </w:r>
      <w:r w:rsidRPr="00C9780C">
        <w:rPr>
          <w:rFonts w:ascii="Sylfaen" w:hAnsi="Sylfaen"/>
          <w:lang w:val="ka-GE"/>
        </w:rPr>
        <w:t xml:space="preserve"> ერთხელ უკვე განახლდა და 6,5% შეადგინა, თუმცა მაისის და ივნისის მაჩვენებლების გათვალისწინებით</w:t>
      </w:r>
      <w:r w:rsidR="00984BC1" w:rsidRPr="00C9780C">
        <w:rPr>
          <w:rFonts w:ascii="Sylfaen" w:hAnsi="Sylfaen"/>
          <w:lang w:val="ka-GE"/>
        </w:rPr>
        <w:t>,</w:t>
      </w:r>
      <w:r w:rsidRPr="00C9780C">
        <w:rPr>
          <w:rFonts w:ascii="Sylfaen" w:hAnsi="Sylfaen"/>
          <w:lang w:val="ka-GE"/>
        </w:rPr>
        <w:t xml:space="preserve"> საბაზო სცენარში კიდევ ერთხელ გაიზარდა აღნიშნული მაჩვენებელი და </w:t>
      </w:r>
      <w:r w:rsidR="00782ED6">
        <w:rPr>
          <w:rFonts w:ascii="Sylfaen" w:hAnsi="Sylfaen"/>
          <w:lang w:val="ka-GE"/>
        </w:rPr>
        <w:t xml:space="preserve">ივლისში </w:t>
      </w:r>
      <w:r w:rsidR="00246230" w:rsidRPr="00292E98">
        <w:rPr>
          <w:rFonts w:ascii="Sylfaen" w:hAnsi="Sylfaen"/>
          <w:lang w:val="ka-GE"/>
        </w:rPr>
        <w:t xml:space="preserve">2021 წლის სახელმწიფო ბიუჯეტის კანონის ცვლილების პროექტზე თანდართული პროგნოზების საბაზო სცენარში </w:t>
      </w:r>
      <w:r w:rsidRPr="00292E98">
        <w:rPr>
          <w:rFonts w:ascii="Sylfaen" w:hAnsi="Sylfaen"/>
          <w:lang w:val="ka-GE"/>
        </w:rPr>
        <w:t>2021 წლის რეალური ეკონომიკური ზრდის პროგნოზი 7,7%</w:t>
      </w:r>
      <w:r w:rsidR="00782ED6" w:rsidRPr="00292E98">
        <w:rPr>
          <w:rFonts w:ascii="Sylfaen" w:hAnsi="Sylfaen"/>
          <w:lang w:val="ka-GE"/>
        </w:rPr>
        <w:t xml:space="preserve"> შეადგინა</w:t>
      </w:r>
      <w:r w:rsidRPr="00292E98">
        <w:rPr>
          <w:rFonts w:ascii="Sylfaen" w:hAnsi="Sylfaen"/>
          <w:lang w:val="ka-GE"/>
        </w:rPr>
        <w:t>.</w:t>
      </w:r>
      <w:r w:rsidR="00246230" w:rsidRPr="00292E98">
        <w:rPr>
          <w:rFonts w:ascii="Sylfaen" w:hAnsi="Sylfaen"/>
          <w:lang w:val="ka-GE"/>
        </w:rPr>
        <w:t xml:space="preserve"> </w:t>
      </w:r>
      <w:r w:rsidR="00782ED6" w:rsidRPr="00292E98">
        <w:rPr>
          <w:rFonts w:ascii="Sylfaen" w:hAnsi="Sylfaen"/>
          <w:lang w:val="ka-GE"/>
        </w:rPr>
        <w:t>ივ</w:t>
      </w:r>
      <w:r w:rsidR="00702386">
        <w:rPr>
          <w:rFonts w:ascii="Sylfaen" w:hAnsi="Sylfaen"/>
          <w:lang w:val="ka-GE"/>
        </w:rPr>
        <w:t>ნ</w:t>
      </w:r>
      <w:r w:rsidR="00782ED6" w:rsidRPr="00292E98">
        <w:rPr>
          <w:rFonts w:ascii="Sylfaen" w:hAnsi="Sylfaen"/>
          <w:lang w:val="ka-GE"/>
        </w:rPr>
        <w:t xml:space="preserve">ისის შემდგომ მიმდინარე ეკონომიკური აქტივობის გაჯანსაღების გათვალისწინებით, საბაზო სცენარში კიდევ ერთხელ გაიზარდა ეკონომიკური ზრდის მაჩვენებელი და 2022 წლის სახელმწიფო ბიუჯეტის პროექტზე თანდართული პროგნოზების საბაზო სცენარში 2021 წლის რეალური ეკონომიკური ზრდის პროგნოზი შეადგენს 9.5%-ს, ხოლო 2022 წელს, ეკონომიკური ზრდის საპროგნოზო მაჩვენებელი უტოლდება 6 პროცენტს. </w:t>
      </w:r>
      <w:r w:rsidR="00246230" w:rsidRPr="00292E98">
        <w:rPr>
          <w:rFonts w:ascii="Sylfaen" w:hAnsi="Sylfaen"/>
          <w:lang w:val="ka-GE"/>
        </w:rPr>
        <w:t>ბიუჯეტთან ერთად</w:t>
      </w:r>
      <w:r w:rsidR="00984BC1" w:rsidRPr="00292E98">
        <w:rPr>
          <w:rFonts w:ascii="Sylfaen" w:hAnsi="Sylfaen"/>
          <w:lang w:val="ka-GE"/>
        </w:rPr>
        <w:t>,</w:t>
      </w:r>
      <w:r w:rsidR="00246230" w:rsidRPr="00292E98">
        <w:rPr>
          <w:rFonts w:ascii="Sylfaen" w:hAnsi="Sylfaen"/>
          <w:lang w:val="ka-GE"/>
        </w:rPr>
        <w:t xml:space="preserve"> ასევე წარმოდგენილია ოპტიმისტური </w:t>
      </w:r>
      <w:r w:rsidR="00EA57C9" w:rsidRPr="00292E98">
        <w:rPr>
          <w:rFonts w:ascii="Sylfaen" w:hAnsi="Sylfaen"/>
          <w:lang w:val="ka-GE"/>
        </w:rPr>
        <w:t>და პესიმ</w:t>
      </w:r>
      <w:r w:rsidR="00D20043" w:rsidRPr="00292E98">
        <w:rPr>
          <w:rFonts w:ascii="Sylfaen" w:hAnsi="Sylfaen"/>
          <w:lang w:val="ka-GE"/>
        </w:rPr>
        <w:t>ი</w:t>
      </w:r>
      <w:r w:rsidR="00EA57C9" w:rsidRPr="00292E98">
        <w:rPr>
          <w:rFonts w:ascii="Sylfaen" w:hAnsi="Sylfaen"/>
          <w:lang w:val="ka-GE"/>
        </w:rPr>
        <w:t xml:space="preserve">სტური </w:t>
      </w:r>
      <w:r w:rsidR="00246230" w:rsidRPr="00292E98">
        <w:rPr>
          <w:rFonts w:ascii="Sylfaen" w:hAnsi="Sylfaen"/>
          <w:lang w:val="ka-GE"/>
        </w:rPr>
        <w:t>სცენარ</w:t>
      </w:r>
      <w:r w:rsidR="00EA57C9" w:rsidRPr="00292E98">
        <w:rPr>
          <w:rFonts w:ascii="Sylfaen" w:hAnsi="Sylfaen"/>
          <w:lang w:val="ka-GE"/>
        </w:rPr>
        <w:t>ები</w:t>
      </w:r>
      <w:r w:rsidR="00246230" w:rsidRPr="00292E98">
        <w:rPr>
          <w:rFonts w:ascii="Sylfaen" w:hAnsi="Sylfaen"/>
          <w:lang w:val="ka-GE"/>
        </w:rPr>
        <w:t xml:space="preserve">, </w:t>
      </w:r>
      <w:r w:rsidR="00EA57C9" w:rsidRPr="00292E98">
        <w:rPr>
          <w:rFonts w:ascii="Sylfaen" w:hAnsi="Sylfaen"/>
          <w:lang w:val="ka-GE"/>
        </w:rPr>
        <w:t>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w:t>
      </w:r>
      <w:r w:rsidR="00D20043" w:rsidRPr="00292E98">
        <w:rPr>
          <w:rFonts w:ascii="Sylfaen" w:hAnsi="Sylfaen"/>
          <w:lang w:val="ka-GE"/>
        </w:rPr>
        <w:t>თ</w:t>
      </w:r>
      <w:r w:rsidR="00EA57C9" w:rsidRPr="00292E98">
        <w:rPr>
          <w:rFonts w:ascii="Sylfaen" w:hAnsi="Sylfaen"/>
          <w:lang w:val="ka-GE"/>
        </w:rPr>
        <w:t>ად და უარყოფითად, შესაბამისად.</w:t>
      </w:r>
      <w:r w:rsidR="00EA57C9">
        <w:rPr>
          <w:rFonts w:ascii="Sylfaen" w:hAnsi="Sylfaen"/>
          <w:lang w:val="ka-GE"/>
        </w:rPr>
        <w:t xml:space="preserve"> </w:t>
      </w:r>
    </w:p>
    <w:p w:rsidR="00014376" w:rsidRPr="00C9780C" w:rsidRDefault="00014376" w:rsidP="00292E98">
      <w:pPr>
        <w:pStyle w:val="NoSpacing"/>
        <w:spacing w:line="276" w:lineRule="auto"/>
        <w:ind w:firstLine="720"/>
        <w:jc w:val="both"/>
        <w:rPr>
          <w:rFonts w:ascii="Sylfaen" w:hAnsi="Sylfaen"/>
          <w:lang w:val="ka-GE"/>
        </w:rPr>
      </w:pPr>
      <w:r w:rsidRPr="000E4929">
        <w:rPr>
          <w:rFonts w:ascii="Sylfaen" w:hAnsi="Sylfaen"/>
          <w:lang w:val="ka-GE"/>
        </w:rPr>
        <w:t>წარმოდგენილ ცხრილებში განახლებული პროგნოზი შედარებულია</w:t>
      </w:r>
      <w:r w:rsidRPr="00C9780C">
        <w:rPr>
          <w:rFonts w:ascii="Sylfaen" w:hAnsi="Sylfaen"/>
          <w:lang w:val="ka-GE"/>
        </w:rPr>
        <w:t xml:space="preserve"> 202</w:t>
      </w:r>
      <w:r w:rsidRPr="00C9780C">
        <w:rPr>
          <w:rFonts w:ascii="Sylfaen" w:hAnsi="Sylfaen"/>
        </w:rPr>
        <w:t>1</w:t>
      </w:r>
      <w:r w:rsidRPr="00C9780C">
        <w:rPr>
          <w:rFonts w:ascii="Sylfaen" w:hAnsi="Sylfaen"/>
          <w:lang w:val="ka-GE"/>
        </w:rPr>
        <w:t xml:space="preserve"> წლის სახელმწიფო ბიუჯეტის კანონზე თანდართულ ცხრილებთან. საპროგნოზო მაჩვენებლებზე ყველაზე დიდი გავლენა იქონია მარტი-აპრილის თვიდან ეკონომიკის სწრაფი ტემპებით აღდგენის პროცესმა. კერძოდ, აპრილის თვეში დაფიქსირებულმა 44.8 პროცენტიანმა ეკონომიკურმა ზრდამ, რომლის შედეგადაც </w:t>
      </w:r>
      <w:r w:rsidR="00984BC1" w:rsidRPr="00C9780C">
        <w:rPr>
          <w:rFonts w:ascii="Sylfaen" w:hAnsi="Sylfaen"/>
          <w:lang w:val="ka-GE"/>
        </w:rPr>
        <w:t>რეალური</w:t>
      </w:r>
      <w:r w:rsidRPr="00C9780C">
        <w:rPr>
          <w:rFonts w:ascii="Sylfaen" w:hAnsi="Sylfaen"/>
          <w:lang w:val="ka-GE"/>
        </w:rPr>
        <w:t xml:space="preserve"> ეკონომიკის დონემ მნიშვნელოვნად გადააჭარბა არა</w:t>
      </w:r>
      <w:r w:rsidR="00984BC1" w:rsidRPr="00C9780C">
        <w:rPr>
          <w:rFonts w:ascii="Sylfaen" w:hAnsi="Sylfaen"/>
          <w:lang w:val="ka-GE"/>
        </w:rPr>
        <w:t xml:space="preserve"> </w:t>
      </w:r>
      <w:r w:rsidRPr="00C9780C">
        <w:rPr>
          <w:rFonts w:ascii="Sylfaen" w:hAnsi="Sylfaen"/>
          <w:lang w:val="ka-GE"/>
        </w:rPr>
        <w:t xml:space="preserve">მხოლოდ პანდემიამდელ დონეს, არამედ იმ ჰიპოთეტურ დონესაც, რაც პანდემიის არარსებობის შემთხვევაში იქნებოდა ანალოგიურ დროს. მიუხედავად ამისა, ეკონომიკის ამგვარი </w:t>
      </w:r>
      <w:r w:rsidR="001E1A9C">
        <w:rPr>
          <w:rFonts w:ascii="Sylfaen" w:hAnsi="Sylfaen"/>
          <w:lang w:val="ka-GE"/>
        </w:rPr>
        <w:t xml:space="preserve">მკვეთრი </w:t>
      </w:r>
      <w:r w:rsidRPr="00C9780C">
        <w:rPr>
          <w:rFonts w:ascii="Sylfaen" w:hAnsi="Sylfaen"/>
          <w:lang w:val="ka-GE"/>
        </w:rPr>
        <w:t>აქტივობის</w:t>
      </w:r>
      <w:r w:rsidR="001E1A9C">
        <w:rPr>
          <w:rFonts w:ascii="Sylfaen" w:hAnsi="Sylfaen"/>
          <w:lang w:val="ka-GE"/>
        </w:rPr>
        <w:t xml:space="preserve"> ზრდა</w:t>
      </w:r>
      <w:r w:rsidRPr="00C9780C">
        <w:rPr>
          <w:rFonts w:ascii="Sylfaen" w:hAnsi="Sylfaen"/>
          <w:lang w:val="ka-GE"/>
        </w:rPr>
        <w:t xml:space="preserve"> სრულად შენარჩუნება მოსალოდნელი არ არის, ვინაიდან მნიშვნელოვანწილად იგი განპირობებული იყო ერთი მხრივ</w:t>
      </w:r>
      <w:r w:rsidR="00984BC1" w:rsidRPr="00C9780C">
        <w:rPr>
          <w:rFonts w:ascii="Sylfaen" w:hAnsi="Sylfaen"/>
          <w:lang w:val="ka-GE"/>
        </w:rPr>
        <w:t>,</w:t>
      </w:r>
      <w:r w:rsidRPr="00C9780C">
        <w:rPr>
          <w:rFonts w:ascii="Sylfaen" w:hAnsi="Sylfaen"/>
          <w:lang w:val="ka-GE"/>
        </w:rPr>
        <w:t xml:space="preserve"> ეკონომიკის გახსნის ერთჯერადი ეფექტით, ხოლო მეორე მხრივ</w:t>
      </w:r>
      <w:r w:rsidR="00984BC1" w:rsidRPr="00C9780C">
        <w:rPr>
          <w:rFonts w:ascii="Sylfaen" w:hAnsi="Sylfaen"/>
          <w:lang w:val="ka-GE"/>
        </w:rPr>
        <w:t>,</w:t>
      </w:r>
      <w:r w:rsidRPr="00C9780C">
        <w:rPr>
          <w:rFonts w:ascii="Sylfaen" w:hAnsi="Sylfaen"/>
          <w:lang w:val="ka-GE"/>
        </w:rPr>
        <w:t xml:space="preserve"> გლობალური ვაქცინაციის ტენდენციისა და ეკონომიკის აღდგენის მოლოდინების პოზიტიურად შეცვლის ეფექტით.</w:t>
      </w:r>
    </w:p>
    <w:p w:rsidR="00984BC1" w:rsidRPr="00C9780C" w:rsidRDefault="00984BC1" w:rsidP="00014376">
      <w:pPr>
        <w:pStyle w:val="NoSpacing"/>
        <w:spacing w:line="276" w:lineRule="auto"/>
        <w:ind w:firstLine="720"/>
        <w:jc w:val="both"/>
        <w:rPr>
          <w:rFonts w:ascii="Sylfaen" w:hAnsi="Sylfaen"/>
          <w:lang w:val="ka-GE"/>
        </w:rPr>
      </w:pPr>
    </w:p>
    <w:p w:rsidR="00D83A99" w:rsidRPr="00C9780C" w:rsidRDefault="00984BC1" w:rsidP="00984BC1">
      <w:pPr>
        <w:pStyle w:val="NoSpacing"/>
        <w:spacing w:line="276" w:lineRule="auto"/>
        <w:jc w:val="both"/>
        <w:rPr>
          <w:rFonts w:ascii="Sylfaen" w:hAnsi="Sylfaen"/>
          <w:b/>
          <w:sz w:val="20"/>
          <w:szCs w:val="20"/>
          <w:lang w:val="ka-GE"/>
        </w:rPr>
      </w:pPr>
      <w:r w:rsidRPr="00C9780C">
        <w:rPr>
          <w:rFonts w:ascii="Sylfaen" w:eastAsia="Times New Roman" w:hAnsi="Sylfaen" w:cs="Calibri"/>
          <w:b/>
          <w:bCs/>
          <w:color w:val="000000"/>
          <w:sz w:val="20"/>
          <w:szCs w:val="20"/>
          <w:lang w:val="ka-GE"/>
        </w:rPr>
        <w:t>ც</w:t>
      </w:r>
      <w:r w:rsidRPr="00C9780C">
        <w:rPr>
          <w:rFonts w:ascii="Sylfaen" w:eastAsia="Times New Roman" w:hAnsi="Sylfaen" w:cs="Calibri"/>
          <w:b/>
          <w:bCs/>
          <w:color w:val="000000"/>
          <w:sz w:val="20"/>
          <w:szCs w:val="20"/>
        </w:rPr>
        <w:t>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 xml:space="preserve">1. ძითითადი ვარაუდები და </w:t>
      </w:r>
      <w:r w:rsidRPr="00C9780C">
        <w:rPr>
          <w:rFonts w:ascii="Sylfaen" w:eastAsia="Times New Roman" w:hAnsi="Sylfaen" w:cs="Calibri"/>
          <w:b/>
          <w:bCs/>
          <w:color w:val="000000"/>
          <w:sz w:val="20"/>
          <w:szCs w:val="20"/>
          <w:lang w:val="ka-GE"/>
        </w:rPr>
        <w:t>დ</w:t>
      </w:r>
      <w:r w:rsidRPr="00C9780C">
        <w:rPr>
          <w:rFonts w:ascii="Sylfaen" w:eastAsia="Times New Roman" w:hAnsi="Sylfaen" w:cs="Calibri"/>
          <w:b/>
          <w:bCs/>
          <w:color w:val="000000"/>
          <w:sz w:val="20"/>
          <w:szCs w:val="20"/>
        </w:rPr>
        <w:t>აშვებები</w:t>
      </w:r>
    </w:p>
    <w:tbl>
      <w:tblPr>
        <w:tblW w:w="9936"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960"/>
        <w:gridCol w:w="960"/>
        <w:gridCol w:w="960"/>
        <w:gridCol w:w="960"/>
        <w:gridCol w:w="960"/>
        <w:gridCol w:w="960"/>
      </w:tblGrid>
      <w:tr w:rsidR="00014376" w:rsidRPr="00C9780C" w:rsidTr="00542BAD">
        <w:trPr>
          <w:trHeight w:val="113"/>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2020</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2021</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2022</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2023</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2024</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2025</w:t>
            </w:r>
          </w:p>
        </w:tc>
      </w:tr>
      <w:tr w:rsidR="00014376" w:rsidRPr="00C9780C" w:rsidTr="00542BAD">
        <w:trPr>
          <w:trHeight w:val="113"/>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ფაქტ.</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პროგნ.</w:t>
            </w:r>
          </w:p>
        </w:tc>
      </w:tr>
      <w:tr w:rsidR="00014376" w:rsidRPr="00C9780C" w:rsidTr="00542BAD">
        <w:trPr>
          <w:trHeight w:val="113"/>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014376" w:rsidRPr="00C9780C" w:rsidTr="00542BAD">
        <w:trPr>
          <w:trHeight w:val="113"/>
        </w:trPr>
        <w:tc>
          <w:tcPr>
            <w:tcW w:w="4176" w:type="dxa"/>
            <w:shd w:val="clear" w:color="auto" w:fill="auto"/>
            <w:noWrap/>
            <w:vAlign w:val="bottom"/>
            <w:hideMark/>
          </w:tcPr>
          <w:p w:rsidR="00014376" w:rsidRPr="00573B92" w:rsidRDefault="00014376" w:rsidP="00014376">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00984BC1"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sidR="00573B92">
              <w:rPr>
                <w:rFonts w:ascii="Sylfaen" w:eastAsia="Times New Roman" w:hAnsi="Sylfaen" w:cs="Calibri"/>
                <w:color w:val="000000"/>
                <w:sz w:val="18"/>
              </w:rPr>
              <w:t xml:space="preserve"> (2020 </w:t>
            </w:r>
            <w:r w:rsidR="00573B92">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-5.0%</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4.3%</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5.2%</w:t>
            </w:r>
          </w:p>
        </w:tc>
        <w:tc>
          <w:tcPr>
            <w:tcW w:w="960" w:type="dxa"/>
            <w:shd w:val="clear" w:color="auto" w:fill="auto"/>
            <w:noWrap/>
            <w:vAlign w:val="bottom"/>
            <w:hideMark/>
          </w:tcPr>
          <w:p w:rsidR="00014376" w:rsidRPr="00C9780C" w:rsidRDefault="00014376" w:rsidP="00984BC1">
            <w:pPr>
              <w:spacing w:after="0" w:line="240" w:lineRule="auto"/>
              <w:jc w:val="center"/>
              <w:rPr>
                <w:rFonts w:ascii="Sylfaen" w:eastAsia="Times New Roman" w:hAnsi="Sylfaen" w:cs="Calibri"/>
                <w:color w:val="000000"/>
                <w:sz w:val="18"/>
              </w:rPr>
            </w:pPr>
          </w:p>
        </w:tc>
      </w:tr>
      <w:tr w:rsidR="00014376" w:rsidRPr="00C9780C" w:rsidTr="00542BAD">
        <w:trPr>
          <w:trHeight w:val="113"/>
        </w:trPr>
        <w:tc>
          <w:tcPr>
            <w:tcW w:w="4176" w:type="dxa"/>
            <w:shd w:val="clear" w:color="auto" w:fill="auto"/>
            <w:noWrap/>
            <w:vAlign w:val="bottom"/>
            <w:hideMark/>
          </w:tcPr>
          <w:p w:rsidR="00014376" w:rsidRPr="00C9780C" w:rsidRDefault="00014376" w:rsidP="00014376">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-6.2%</w:t>
            </w:r>
          </w:p>
        </w:tc>
        <w:tc>
          <w:tcPr>
            <w:tcW w:w="960" w:type="dxa"/>
            <w:shd w:val="clear" w:color="auto" w:fill="auto"/>
            <w:noWrap/>
            <w:vAlign w:val="bottom"/>
            <w:hideMark/>
          </w:tcPr>
          <w:p w:rsidR="00014376" w:rsidRPr="00C9780C" w:rsidRDefault="00225C05" w:rsidP="00014376">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rPr>
              <w:t>9</w:t>
            </w:r>
            <w:r w:rsidR="00014376" w:rsidRPr="00C9780C">
              <w:rPr>
                <w:rFonts w:ascii="Sylfaen" w:eastAsia="Times New Roman" w:hAnsi="Sylfaen" w:cs="Calibri"/>
                <w:color w:val="000000"/>
                <w:sz w:val="18"/>
              </w:rPr>
              <w:t>.</w:t>
            </w:r>
            <w:r>
              <w:rPr>
                <w:rFonts w:ascii="Sylfaen" w:eastAsia="Times New Roman" w:hAnsi="Sylfaen" w:cs="Calibri"/>
                <w:color w:val="000000"/>
                <w:sz w:val="18"/>
              </w:rPr>
              <w:t>5</w:t>
            </w:r>
            <w:r w:rsidR="00014376" w:rsidRPr="00C9780C">
              <w:rPr>
                <w:rFonts w:ascii="Sylfaen" w:eastAsia="Times New Roman" w:hAnsi="Sylfaen" w:cs="Calibri"/>
                <w:color w:val="000000"/>
                <w:sz w:val="18"/>
              </w:rPr>
              <w:t>%</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w:t>
            </w:r>
            <w:r w:rsidR="00225C05">
              <w:rPr>
                <w:rFonts w:ascii="Sylfaen" w:eastAsia="Times New Roman" w:hAnsi="Sylfaen" w:cs="Calibri"/>
                <w:color w:val="000000"/>
                <w:sz w:val="18"/>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014376" w:rsidRPr="00C9780C" w:rsidRDefault="00225C05" w:rsidP="00014376">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rPr>
              <w:t>5</w:t>
            </w:r>
            <w:r w:rsidR="00014376" w:rsidRPr="00C9780C">
              <w:rPr>
                <w:rFonts w:ascii="Sylfaen" w:eastAsia="Times New Roman" w:hAnsi="Sylfaen" w:cs="Calibri"/>
                <w:color w:val="000000"/>
                <w:sz w:val="18"/>
              </w:rPr>
              <w:t>.</w:t>
            </w:r>
            <w:r>
              <w:rPr>
                <w:rFonts w:ascii="Sylfaen" w:eastAsia="Times New Roman" w:hAnsi="Sylfaen" w:cs="Calibri"/>
                <w:color w:val="000000"/>
                <w:sz w:val="18"/>
              </w:rPr>
              <w:t>5</w:t>
            </w:r>
            <w:r w:rsidR="00014376" w:rsidRPr="00C9780C">
              <w:rPr>
                <w:rFonts w:ascii="Sylfaen" w:eastAsia="Times New Roman" w:hAnsi="Sylfaen" w:cs="Calibri"/>
                <w:color w:val="000000"/>
                <w:sz w:val="18"/>
              </w:rPr>
              <w:t>%</w:t>
            </w:r>
          </w:p>
        </w:tc>
        <w:tc>
          <w:tcPr>
            <w:tcW w:w="960" w:type="dxa"/>
            <w:shd w:val="clear" w:color="auto" w:fill="auto"/>
            <w:noWrap/>
            <w:vAlign w:val="bottom"/>
            <w:hideMark/>
          </w:tcPr>
          <w:p w:rsidR="00014376" w:rsidRPr="00C9780C" w:rsidRDefault="00014376" w:rsidP="00014376">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w:t>
            </w:r>
            <w:r w:rsidR="00225C05">
              <w:rPr>
                <w:rFonts w:ascii="Sylfaen" w:eastAsia="Times New Roman" w:hAnsi="Sylfaen" w:cs="Calibri"/>
                <w:color w:val="000000"/>
                <w:sz w:val="18"/>
              </w:rPr>
              <w:t>2</w:t>
            </w:r>
            <w:r w:rsidRPr="00C9780C">
              <w:rPr>
                <w:rFonts w:ascii="Sylfaen" w:eastAsia="Times New Roman" w:hAnsi="Sylfaen" w:cs="Calibri"/>
                <w:color w:val="000000"/>
                <w:sz w:val="18"/>
              </w:rPr>
              <w:t>%</w:t>
            </w:r>
          </w:p>
        </w:tc>
        <w:tc>
          <w:tcPr>
            <w:tcW w:w="960" w:type="dxa"/>
            <w:shd w:val="clear" w:color="auto" w:fill="auto"/>
            <w:noWrap/>
            <w:vAlign w:val="bottom"/>
            <w:hideMark/>
          </w:tcPr>
          <w:p w:rsidR="00014376" w:rsidRPr="00C9780C" w:rsidRDefault="00225C05" w:rsidP="00984BC1">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5</w:t>
            </w:r>
            <w:r w:rsidR="00014376" w:rsidRPr="00C9780C">
              <w:rPr>
                <w:rFonts w:ascii="Sylfaen" w:eastAsia="Times New Roman" w:hAnsi="Sylfaen" w:cs="Calibri"/>
                <w:color w:val="000000"/>
                <w:sz w:val="18"/>
              </w:rPr>
              <w:t>.</w:t>
            </w:r>
            <w:r>
              <w:rPr>
                <w:rFonts w:ascii="Sylfaen" w:eastAsia="Times New Roman" w:hAnsi="Sylfaen" w:cs="Calibri"/>
                <w:color w:val="000000"/>
                <w:sz w:val="18"/>
              </w:rPr>
              <w:t>2</w:t>
            </w:r>
            <w:r w:rsidR="00014376" w:rsidRPr="00C9780C">
              <w:rPr>
                <w:rFonts w:ascii="Sylfaen" w:eastAsia="Times New Roman" w:hAnsi="Sylfaen" w:cs="Calibri"/>
                <w:color w:val="000000"/>
                <w:sz w:val="18"/>
              </w:rPr>
              <w:t>%</w:t>
            </w: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lang w:val="ka-GE"/>
              </w:rPr>
              <w:t>5</w:t>
            </w:r>
            <w:r w:rsidRPr="00C9780C">
              <w:rPr>
                <w:rFonts w:ascii="Sylfaen" w:eastAsia="Times New Roman" w:hAnsi="Sylfaen" w:cs="Calibri"/>
                <w:color w:val="000000"/>
                <w:sz w:val="18"/>
              </w:rPr>
              <w:t>.</w:t>
            </w:r>
            <w:r>
              <w:rPr>
                <w:rFonts w:ascii="Sylfaen" w:eastAsia="Times New Roman" w:hAnsi="Sylfaen" w:cs="Calibri"/>
                <w:color w:val="000000"/>
                <w:sz w:val="18"/>
                <w:lang w:val="ka-GE"/>
              </w:rPr>
              <w:t>2</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2</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573B92" w:rsidRDefault="00225C05" w:rsidP="00225C05">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sidR="00573B92">
              <w:rPr>
                <w:rFonts w:ascii="Sylfaen" w:eastAsia="Times New Roman" w:hAnsi="Sylfaen" w:cs="Calibri"/>
                <w:color w:val="000000"/>
                <w:sz w:val="18"/>
                <w:lang w:val="ka-GE"/>
              </w:rPr>
              <w:t xml:space="preserve"> </w:t>
            </w:r>
            <w:r w:rsidR="00573B92">
              <w:rPr>
                <w:rFonts w:ascii="Sylfaen" w:eastAsia="Times New Roman" w:hAnsi="Sylfaen" w:cs="Calibri"/>
                <w:color w:val="000000"/>
                <w:sz w:val="18"/>
              </w:rPr>
              <w:t xml:space="preserve">(2020 </w:t>
            </w:r>
            <w:r w:rsidR="00573B92">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5.5%</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3.8%</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lang w:val="ka-GE"/>
              </w:rPr>
              <w:t>8</w:t>
            </w:r>
            <w:r w:rsidRPr="00C9780C">
              <w:rPr>
                <w:rFonts w:ascii="Sylfaen" w:eastAsia="Times New Roman" w:hAnsi="Sylfaen" w:cs="Calibri"/>
                <w:color w:val="000000"/>
                <w:sz w:val="18"/>
              </w:rPr>
              <w:t>.</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4.5%</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3.0%</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3.0%</w:t>
            </w: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Pr>
                <w:rFonts w:ascii="Sylfaen" w:eastAsia="Times New Roman" w:hAnsi="Sylfaen" w:cs="Calibri"/>
                <w:color w:val="000000"/>
                <w:sz w:val="18"/>
                <w:lang w:val="ka-GE"/>
              </w:rPr>
              <w:t>4</w:t>
            </w:r>
            <w:r w:rsidRPr="00C9780C">
              <w:rPr>
                <w:rFonts w:ascii="Sylfaen" w:eastAsia="Times New Roman" w:hAnsi="Sylfaen" w:cs="Calibri"/>
                <w:color w:val="000000"/>
                <w:sz w:val="18"/>
              </w:rPr>
              <w:t>.</w:t>
            </w:r>
            <w:r>
              <w:rPr>
                <w:rFonts w:ascii="Sylfaen" w:eastAsia="Times New Roman" w:hAnsi="Sylfaen" w:cs="Calibri"/>
                <w:color w:val="000000"/>
                <w:sz w:val="18"/>
                <w:lang w:val="ka-GE"/>
              </w:rPr>
              <w:t>2</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1.5%</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w:t>
            </w:r>
            <w:r>
              <w:rPr>
                <w:rFonts w:ascii="Sylfaen" w:eastAsia="Times New Roman" w:hAnsi="Sylfaen" w:cs="Calibri"/>
                <w:color w:val="000000"/>
                <w:sz w:val="18"/>
                <w:lang w:val="ka-GE"/>
              </w:rPr>
              <w:t>0</w:t>
            </w:r>
            <w:r w:rsidRPr="00C9780C">
              <w:rPr>
                <w:rFonts w:ascii="Sylfaen" w:eastAsia="Times New Roman" w:hAnsi="Sylfaen" w:cs="Calibri"/>
                <w:color w:val="000000"/>
                <w:sz w:val="18"/>
              </w:rPr>
              <w:t>%</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0.0%</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573B92" w:rsidRDefault="00225C05" w:rsidP="00225C05">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sidR="00573B92">
              <w:rPr>
                <w:rFonts w:ascii="Sylfaen" w:eastAsia="Times New Roman" w:hAnsi="Sylfaen" w:cs="Calibri"/>
                <w:color w:val="000000"/>
                <w:sz w:val="18"/>
                <w:lang w:val="ka-GE"/>
              </w:rPr>
              <w:t xml:space="preserve"> </w:t>
            </w:r>
            <w:r w:rsidR="00573B92">
              <w:rPr>
                <w:rFonts w:ascii="Sylfaen" w:eastAsia="Times New Roman" w:hAnsi="Sylfaen" w:cs="Calibri"/>
                <w:color w:val="000000"/>
                <w:sz w:val="18"/>
              </w:rPr>
              <w:t xml:space="preserve">(2020 </w:t>
            </w:r>
            <w:r w:rsidR="00573B92">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14.1%</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13.1%</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12.1%</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11.1%</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10.1%</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15.7%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14.7%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13.7%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12.7%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11.7%</w:t>
            </w:r>
          </w:p>
        </w:tc>
        <w:tc>
          <w:tcPr>
            <w:tcW w:w="960" w:type="dxa"/>
            <w:shd w:val="clear" w:color="auto" w:fill="auto"/>
            <w:noWrap/>
            <w:vAlign w:val="bottom"/>
            <w:hideMark/>
          </w:tcPr>
          <w:p w:rsidR="00225C05" w:rsidRPr="00C9780C" w:rsidRDefault="00225C05" w:rsidP="00225C05">
            <w:pPr>
              <w:spacing w:after="0" w:line="240" w:lineRule="auto"/>
              <w:jc w:val="center"/>
              <w:rPr>
                <w:rFonts w:ascii="Sylfaen" w:eastAsia="Times New Roman" w:hAnsi="Sylfaen" w:cs="Calibri"/>
                <w:color w:val="000000"/>
                <w:sz w:val="18"/>
              </w:rPr>
            </w:pPr>
            <w:r w:rsidRPr="00C9780C">
              <w:rPr>
                <w:rFonts w:ascii="Sylfaen" w:eastAsia="Times New Roman" w:hAnsi="Sylfaen" w:cs="Calibri"/>
                <w:color w:val="000000"/>
                <w:sz w:val="18"/>
              </w:rPr>
              <w:t>10.7%</w:t>
            </w: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1.6%</w:t>
            </w:r>
          </w:p>
        </w:tc>
        <w:tc>
          <w:tcPr>
            <w:tcW w:w="960" w:type="dxa"/>
            <w:shd w:val="clear" w:color="auto" w:fill="auto"/>
            <w:noWrap/>
            <w:vAlign w:val="bottom"/>
            <w:hideMark/>
          </w:tcPr>
          <w:p w:rsidR="00225C05" w:rsidRPr="00225C05" w:rsidRDefault="00225C05" w:rsidP="00225C05">
            <w:pPr>
              <w:spacing w:after="0" w:line="240" w:lineRule="auto"/>
              <w:jc w:val="center"/>
              <w:rPr>
                <w:rFonts w:ascii="Sylfaen" w:eastAsia="Times New Roman" w:hAnsi="Sylfaen" w:cs="Calibri"/>
                <w:color w:val="000000"/>
                <w:sz w:val="18"/>
                <w:lang w:val="ka-GE"/>
              </w:rPr>
            </w:pPr>
          </w:p>
        </w:tc>
      </w:tr>
      <w:tr w:rsidR="00225C05" w:rsidRPr="00C9780C" w:rsidTr="00542BAD">
        <w:trPr>
          <w:trHeight w:val="113"/>
        </w:trPr>
        <w:tc>
          <w:tcPr>
            <w:tcW w:w="4176" w:type="dxa"/>
            <w:shd w:val="clear" w:color="auto" w:fill="auto"/>
            <w:noWrap/>
            <w:vAlign w:val="bottom"/>
            <w:hideMark/>
          </w:tcPr>
          <w:p w:rsidR="00225C05" w:rsidRPr="00542BAD" w:rsidRDefault="00225C05" w:rsidP="00225C05">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225C05" w:rsidRPr="00C9780C" w:rsidTr="00542BAD">
        <w:trPr>
          <w:trHeight w:val="113"/>
        </w:trPr>
        <w:tc>
          <w:tcPr>
            <w:tcW w:w="4176" w:type="dxa"/>
            <w:shd w:val="clear" w:color="auto" w:fill="auto"/>
            <w:noWrap/>
            <w:vAlign w:val="bottom"/>
            <w:hideMark/>
          </w:tcPr>
          <w:p w:rsidR="00225C05" w:rsidRPr="00573B92" w:rsidRDefault="00225C05" w:rsidP="00225C05">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sidR="00573B92">
              <w:rPr>
                <w:rFonts w:ascii="Sylfaen" w:eastAsia="Times New Roman" w:hAnsi="Sylfaen" w:cs="Calibri"/>
                <w:color w:val="000000"/>
                <w:sz w:val="18"/>
                <w:lang w:val="ka-GE"/>
              </w:rPr>
              <w:t xml:space="preserve"> </w:t>
            </w:r>
            <w:r w:rsidR="00573B92">
              <w:rPr>
                <w:rFonts w:ascii="Sylfaen" w:eastAsia="Times New Roman" w:hAnsi="Sylfaen" w:cs="Calibri"/>
                <w:color w:val="000000"/>
                <w:sz w:val="18"/>
              </w:rPr>
              <w:t xml:space="preserve">(2020 </w:t>
            </w:r>
            <w:r w:rsidR="00573B92">
              <w:rPr>
                <w:rFonts w:ascii="Sylfaen" w:eastAsia="Times New Roman" w:hAnsi="Sylfaen" w:cs="Calibri"/>
                <w:color w:val="000000"/>
                <w:sz w:val="18"/>
                <w:lang w:val="ka-GE"/>
              </w:rPr>
              <w:t>წლის დეკემბერი)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7.3%</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6.8%</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6.3%</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5.8%</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5.3%</w:t>
            </w:r>
          </w:p>
        </w:tc>
        <w:tc>
          <w:tcPr>
            <w:tcW w:w="96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9.2%</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8.7%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8.2%</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7.2%</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6.7%</w:t>
            </w:r>
          </w:p>
        </w:tc>
      </w:tr>
      <w:tr w:rsidR="00225C05" w:rsidRPr="00C9780C" w:rsidTr="00542BAD">
        <w:trPr>
          <w:trHeight w:val="113"/>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r w:rsidRPr="00C9780C">
              <w:rPr>
                <w:rFonts w:ascii="Sylfaen" w:eastAsia="Times New Roman" w:hAnsi="Sylfaen" w:cs="Calibri"/>
                <w:color w:val="000000"/>
                <w:sz w:val="18"/>
              </w:rPr>
              <w:t>1.9%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rPr>
            </w:pPr>
          </w:p>
        </w:tc>
      </w:tr>
    </w:tbl>
    <w:p w:rsidR="00014376" w:rsidRPr="00C9780C" w:rsidRDefault="00014376" w:rsidP="00DD6CB2">
      <w:pPr>
        <w:pStyle w:val="NoSpacing"/>
        <w:spacing w:line="276" w:lineRule="auto"/>
        <w:ind w:firstLine="720"/>
        <w:jc w:val="both"/>
        <w:rPr>
          <w:rFonts w:ascii="Sylfaen" w:hAnsi="Sylfaen"/>
          <w:highlight w:val="red"/>
          <w:lang w:val="ka-GE"/>
        </w:rPr>
      </w:pPr>
    </w:p>
    <w:p w:rsidR="00014376" w:rsidRPr="00C9780C" w:rsidRDefault="00014376" w:rsidP="00014376">
      <w:pPr>
        <w:pStyle w:val="NoSpacing"/>
        <w:spacing w:line="276" w:lineRule="auto"/>
        <w:ind w:firstLine="720"/>
        <w:jc w:val="both"/>
        <w:rPr>
          <w:rFonts w:ascii="Sylfaen" w:hAnsi="Sylfaen"/>
          <w:lang w:val="ka-GE"/>
        </w:rPr>
      </w:pPr>
      <w:r w:rsidRPr="00C9780C">
        <w:rPr>
          <w:rFonts w:ascii="Sylfaen" w:hAnsi="Sylfaen"/>
          <w:lang w:val="ka-GE"/>
        </w:rPr>
        <w:t>ცხრილი №1 გვიჩვენებს ძირითადი ვარაუდებისა და დაშვებების ცვლილებებს. ცხრილში შეტანილია 2020 წლის ფაქტობრივი მაჩვენებლებიც, რათა უფრო ნათლად გამოჩნდეს 201</w:t>
      </w:r>
      <w:r w:rsidRPr="00C9780C">
        <w:rPr>
          <w:rFonts w:ascii="Sylfaen" w:hAnsi="Sylfaen"/>
        </w:rPr>
        <w:t>9</w:t>
      </w:r>
      <w:r w:rsidRPr="00C9780C">
        <w:rPr>
          <w:rFonts w:ascii="Sylfaen" w:hAnsi="Sylfaen"/>
          <w:lang w:val="ka-GE"/>
        </w:rPr>
        <w:t xml:space="preserve"> წლის</w:t>
      </w:r>
      <w:r w:rsidRPr="00C9780C">
        <w:rPr>
          <w:rFonts w:ascii="Sylfaen" w:hAnsi="Sylfaen"/>
        </w:rPr>
        <w:t xml:space="preserve"> </w:t>
      </w:r>
      <w:r w:rsidRPr="00C9780C">
        <w:rPr>
          <w:rFonts w:ascii="Sylfaen" w:hAnsi="Sylfaen"/>
          <w:lang w:val="ka-GE"/>
        </w:rPr>
        <w:t>ფაქტობრივი მონაცემების დაზუსტებით გამოწვეული ცვლილების ეფექტი. 2020 წელს ეკონომიკური ზრდა ნავარაუდევზე 1.2 პროცენტული პუნქტით ნაკლები აღმოჩნდა, რაც გამოწვეულია პანდემიის მეორე ტალღის პიკური პერიოდის მოსალოდნ</w:t>
      </w:r>
      <w:r w:rsidR="00702386">
        <w:rPr>
          <w:rFonts w:ascii="Sylfaen" w:hAnsi="Sylfaen"/>
          <w:lang w:val="ka-GE"/>
        </w:rPr>
        <w:t>ე</w:t>
      </w:r>
      <w:r w:rsidRPr="00C9780C">
        <w:rPr>
          <w:rFonts w:ascii="Sylfaen" w:hAnsi="Sylfaen"/>
          <w:lang w:val="ka-GE"/>
        </w:rPr>
        <w:t xml:space="preserve">ლზე მაღალი უარყოფითი ეკონომიკური შედეგებით. თუმცა, მნიშვნელოვნად არის გაზრდილი 2021 წლის საპროგნოზო მაჩვენებელი, რაც გამოწვეულია ერთი მხრივ შემცირებული ბაზით, ხოლო მეორე მხრივ ეკონომიკის აღდგენის სწრაფი ტენდენციით, რაც </w:t>
      </w:r>
      <w:r w:rsidR="00EB27B1">
        <w:rPr>
          <w:rFonts w:ascii="Sylfaen" w:hAnsi="Sylfaen"/>
          <w:lang w:val="ka-GE"/>
        </w:rPr>
        <w:t>გამოვლიდნა მეორე კვარტალსა და ივლისისა და აგვისტოს თვეებში.</w:t>
      </w:r>
      <w:r w:rsidRPr="00C9780C">
        <w:rPr>
          <w:rFonts w:ascii="Sylfaen" w:hAnsi="Sylfaen"/>
          <w:lang w:val="ka-GE"/>
        </w:rPr>
        <w:t xml:space="preserve"> გაზრდილია აგრეთვე საშუალოვადიანი პროგნოზებიც, ვინაიდან, არ მატერიალიზდა ისეთი მნიშვნელოვანი რისკ ფაქტორი, როგორიცაა პოსტპანდემიურ პერიოდში მოხმარების დაბალი მაჩვენებელი, რომლის მ</w:t>
      </w:r>
      <w:r w:rsidR="00984BC1" w:rsidRPr="00C9780C">
        <w:rPr>
          <w:rFonts w:ascii="Sylfaen" w:hAnsi="Sylfaen"/>
          <w:lang w:val="ka-GE"/>
        </w:rPr>
        <w:t>ა</w:t>
      </w:r>
      <w:r w:rsidRPr="00C9780C">
        <w:rPr>
          <w:rFonts w:ascii="Sylfaen" w:hAnsi="Sylfaen"/>
          <w:lang w:val="ka-GE"/>
        </w:rPr>
        <w:t xml:space="preserve">ტერიალიზაციის გარკვეული ალბათობა გათვალისწინებული იყო როგორც პესიმისტურ, აგრეთვე საბაზო </w:t>
      </w:r>
      <w:r w:rsidR="00702386">
        <w:rPr>
          <w:rFonts w:ascii="Sylfaen" w:hAnsi="Sylfaen"/>
          <w:lang w:val="ka-GE"/>
        </w:rPr>
        <w:t>სცენარში</w:t>
      </w:r>
      <w:r w:rsidRPr="00C9780C">
        <w:rPr>
          <w:rFonts w:ascii="Sylfaen" w:hAnsi="Sylfaen"/>
          <w:lang w:val="ka-GE"/>
        </w:rPr>
        <w:t>. აღნიშნული რისკ</w:t>
      </w:r>
      <w:r w:rsidR="00702386">
        <w:rPr>
          <w:rFonts w:ascii="Sylfaen" w:hAnsi="Sylfaen"/>
          <w:lang w:val="ka-GE"/>
        </w:rPr>
        <w:t>-</w:t>
      </w:r>
      <w:r w:rsidR="00984BC1" w:rsidRPr="00C9780C">
        <w:rPr>
          <w:rFonts w:ascii="Sylfaen" w:hAnsi="Sylfaen"/>
          <w:lang w:val="ka-GE"/>
        </w:rPr>
        <w:t xml:space="preserve"> </w:t>
      </w:r>
      <w:r w:rsidRPr="00C9780C">
        <w:rPr>
          <w:rFonts w:ascii="Sylfaen" w:hAnsi="Sylfaen"/>
          <w:lang w:val="ka-GE"/>
        </w:rPr>
        <w:t>ფ</w:t>
      </w:r>
      <w:r w:rsidR="00984BC1" w:rsidRPr="00C9780C">
        <w:rPr>
          <w:rFonts w:ascii="Sylfaen" w:hAnsi="Sylfaen"/>
          <w:lang w:val="ka-GE"/>
        </w:rPr>
        <w:t>ა</w:t>
      </w:r>
      <w:r w:rsidRPr="00C9780C">
        <w:rPr>
          <w:rFonts w:ascii="Sylfaen" w:hAnsi="Sylfaen"/>
          <w:lang w:val="ka-GE"/>
        </w:rPr>
        <w:t>ქტორი კვალავ</w:t>
      </w:r>
      <w:r w:rsidR="00984BC1" w:rsidRPr="00C9780C">
        <w:rPr>
          <w:rFonts w:ascii="Sylfaen" w:hAnsi="Sylfaen"/>
          <w:lang w:val="ka-GE"/>
        </w:rPr>
        <w:t>ა</w:t>
      </w:r>
      <w:r w:rsidRPr="00C9780C">
        <w:rPr>
          <w:rFonts w:ascii="Sylfaen" w:hAnsi="Sylfaen"/>
          <w:lang w:val="ka-GE"/>
        </w:rPr>
        <w:t>ც რჩება საშუალოვადიანი პერიოდის რისკებში, თუმცა შემცირებულია მაგნიტუდა და მოსალოდნელობის ალბათობა.</w:t>
      </w:r>
    </w:p>
    <w:p w:rsidR="00014376" w:rsidRPr="00C9780C" w:rsidRDefault="00014376" w:rsidP="00014376">
      <w:pPr>
        <w:pStyle w:val="NoSpacing"/>
        <w:spacing w:line="276" w:lineRule="auto"/>
        <w:ind w:firstLine="720"/>
        <w:jc w:val="both"/>
        <w:rPr>
          <w:rFonts w:ascii="Sylfaen" w:hAnsi="Sylfaen"/>
          <w:lang w:val="ka-GE"/>
        </w:rPr>
      </w:pPr>
      <w:r w:rsidRPr="00C9780C">
        <w:rPr>
          <w:rFonts w:ascii="Sylfaen" w:hAnsi="Sylfaen"/>
          <w:lang w:val="ka-GE"/>
        </w:rPr>
        <w:t>გაზრდილია მშპ-ს დეფლატორის როგორც ფაქტობრ</w:t>
      </w:r>
      <w:r w:rsidR="00D20043">
        <w:rPr>
          <w:rFonts w:ascii="Sylfaen" w:hAnsi="Sylfaen"/>
          <w:lang w:val="ka-GE"/>
        </w:rPr>
        <w:t>ი</w:t>
      </w:r>
      <w:r w:rsidRPr="00C9780C">
        <w:rPr>
          <w:rFonts w:ascii="Sylfaen" w:hAnsi="Sylfaen"/>
          <w:lang w:val="ka-GE"/>
        </w:rPr>
        <w:t xml:space="preserve">ვი, ასევე საპროგნოზო მაჩვენებლებიც, </w:t>
      </w:r>
      <w:r w:rsidR="00C9780C" w:rsidRPr="00C9780C">
        <w:rPr>
          <w:rFonts w:ascii="Sylfaen" w:hAnsi="Sylfaen"/>
          <w:lang w:val="ka-GE"/>
        </w:rPr>
        <w:t xml:space="preserve">რაც </w:t>
      </w:r>
      <w:r w:rsidRPr="00C9780C">
        <w:rPr>
          <w:rFonts w:ascii="Sylfaen" w:hAnsi="Sylfaen"/>
          <w:lang w:val="ka-GE"/>
        </w:rPr>
        <w:t>გლობალური ინფლაციური ტენდენციები</w:t>
      </w:r>
      <w:r w:rsidR="000E4929">
        <w:rPr>
          <w:rFonts w:ascii="Sylfaen" w:hAnsi="Sylfaen"/>
          <w:lang w:val="ka-GE"/>
        </w:rPr>
        <w:t>ს შედეგია. აღნიშნული</w:t>
      </w:r>
      <w:r w:rsidRPr="00C9780C">
        <w:rPr>
          <w:rFonts w:ascii="Sylfaen" w:hAnsi="Sylfaen"/>
          <w:lang w:val="ka-GE"/>
        </w:rPr>
        <w:t xml:space="preserve"> ერთი მხრივ გამოწვეულია</w:t>
      </w:r>
      <w:r w:rsidR="00C9780C" w:rsidRPr="00C9780C">
        <w:rPr>
          <w:rFonts w:ascii="Sylfaen" w:hAnsi="Sylfaen"/>
          <w:lang w:val="ka-GE"/>
        </w:rPr>
        <w:t xml:space="preserve"> </w:t>
      </w:r>
      <w:r w:rsidRPr="00C9780C">
        <w:rPr>
          <w:rFonts w:ascii="Sylfaen" w:hAnsi="Sylfaen"/>
          <w:lang w:val="ka-GE"/>
        </w:rPr>
        <w:t xml:space="preserve">ნედლეულზე მომატებული ფასებით, ხოლო მეორე მხრივ მიწოდების ჯაჭვების რღვევის გამო ინფლაციაზე გაცილებით მაღალი გავლენით, ვიდრე ეს საბაზისო სცენარით იყო მოსალოდნელი. მაღალი ინფლაციური მოლოდინები აისახა საპროცენტო განაკვეთებზეც. ეკონომიკური ზრდისა და დეფლატორის ცვლილების </w:t>
      </w:r>
      <w:r w:rsidR="00C9780C" w:rsidRPr="00C9780C">
        <w:rPr>
          <w:rFonts w:ascii="Sylfaen" w:hAnsi="Sylfaen"/>
          <w:lang w:val="ka-GE"/>
        </w:rPr>
        <w:t>შედეგ</w:t>
      </w:r>
      <w:r w:rsidRPr="00C9780C">
        <w:rPr>
          <w:rFonts w:ascii="Sylfaen" w:hAnsi="Sylfaen"/>
          <w:lang w:val="ka-GE"/>
        </w:rPr>
        <w:t>ად, ბუნებრივია, გადაიხედა ნომინალური მშპ-ს პროგნოზებიც.</w:t>
      </w:r>
    </w:p>
    <w:p w:rsidR="00C9780C" w:rsidRPr="00C9780C" w:rsidRDefault="00C9780C" w:rsidP="00C9780C">
      <w:pPr>
        <w:pStyle w:val="NoSpacing"/>
        <w:spacing w:line="276" w:lineRule="auto"/>
        <w:jc w:val="both"/>
        <w:rPr>
          <w:rFonts w:ascii="Sylfaen" w:eastAsia="Times New Roman" w:hAnsi="Sylfaen" w:cs="Calibri"/>
          <w:b/>
          <w:bCs/>
          <w:color w:val="000000"/>
        </w:rPr>
      </w:pPr>
    </w:p>
    <w:p w:rsidR="00C9780C" w:rsidRPr="00C9780C" w:rsidRDefault="00C9780C" w:rsidP="00C9780C">
      <w:pPr>
        <w:pStyle w:val="NoSpacing"/>
        <w:spacing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2. ნომინალური მშპ-ს ცვლილება</w:t>
      </w:r>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014376" w:rsidRPr="00C9780C" w:rsidTr="00B120F5">
        <w:trPr>
          <w:trHeight w:val="300"/>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B120F5" w:rsidRPr="00C9780C" w:rsidTr="00B120F5">
        <w:trPr>
          <w:trHeight w:val="300"/>
        </w:trPr>
        <w:tc>
          <w:tcPr>
            <w:tcW w:w="4176" w:type="dxa"/>
            <w:shd w:val="clear" w:color="auto" w:fill="auto"/>
            <w:noWrap/>
            <w:vAlign w:val="bottom"/>
            <w:hideMark/>
          </w:tcPr>
          <w:p w:rsidR="00B120F5" w:rsidRPr="00C9780C" w:rsidRDefault="00B120F5" w:rsidP="00B120F5">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r>
              <w:rPr>
                <w:rFonts w:ascii="Sylfaen" w:eastAsia="Times New Roman" w:hAnsi="Sylfaen" w:cs="Calibri"/>
                <w:b/>
                <w:color w:val="000000"/>
                <w:sz w:val="18"/>
                <w:szCs w:val="18"/>
                <w:lang w:val="ka-GE"/>
              </w:rPr>
              <w:t>ი</w:t>
            </w:r>
          </w:p>
        </w:tc>
        <w:tc>
          <w:tcPr>
            <w:tcW w:w="1001" w:type="dxa"/>
            <w:shd w:val="clear" w:color="auto" w:fill="auto"/>
            <w:noWrap/>
            <w:vAlign w:val="bottom"/>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100" w:type="dxa"/>
            <w:shd w:val="clear" w:color="auto" w:fill="auto"/>
            <w:noWrap/>
            <w:vAlign w:val="bottom"/>
            <w:hideMark/>
          </w:tcPr>
          <w:p w:rsidR="00B120F5" w:rsidRPr="00B120F5" w:rsidRDefault="00B120F5" w:rsidP="00B120F5">
            <w:pPr>
              <w:spacing w:after="0" w:line="240" w:lineRule="auto"/>
              <w:jc w:val="center"/>
              <w:rPr>
                <w:rFonts w:ascii="Sylfaen" w:eastAsia="Times New Roman" w:hAnsi="Sylfaen" w:cs="Calibri"/>
                <w:b/>
                <w:color w:val="000000"/>
                <w:sz w:val="18"/>
                <w:szCs w:val="18"/>
                <w:lang w:val="ka-GE"/>
              </w:rPr>
            </w:pPr>
            <w:r w:rsidRPr="00C9780C">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r>
      <w:tr w:rsidR="00225C05" w:rsidRPr="00C9780C" w:rsidTr="00B120F5">
        <w:trPr>
          <w:trHeight w:val="300"/>
        </w:trPr>
        <w:tc>
          <w:tcPr>
            <w:tcW w:w="4176" w:type="dxa"/>
            <w:shd w:val="clear" w:color="auto" w:fill="auto"/>
            <w:noWrap/>
            <w:vAlign w:val="bottom"/>
            <w:hideMark/>
          </w:tcPr>
          <w:p w:rsidR="00225C05" w:rsidRPr="00573B92" w:rsidRDefault="00225C05" w:rsidP="00225C05">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sidR="00573B92">
              <w:rPr>
                <w:rFonts w:ascii="Sylfaen" w:eastAsia="Times New Roman" w:hAnsi="Sylfaen" w:cs="Calibri"/>
                <w:b/>
                <w:bCs/>
                <w:color w:val="000000"/>
                <w:sz w:val="18"/>
                <w:szCs w:val="18"/>
                <w:lang w:val="ka-GE"/>
              </w:rPr>
              <w:t xml:space="preserve"> </w:t>
            </w:r>
            <w:r w:rsidR="00573B92" w:rsidRPr="00573B92">
              <w:rPr>
                <w:rFonts w:ascii="Sylfaen" w:eastAsia="Times New Roman" w:hAnsi="Sylfaen" w:cs="Calibri"/>
                <w:b/>
                <w:bCs/>
                <w:color w:val="000000"/>
                <w:sz w:val="18"/>
              </w:rPr>
              <w:t xml:space="preserve">(2020 </w:t>
            </w:r>
            <w:r w:rsidR="00573B92"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49,363.5</w:t>
            </w:r>
          </w:p>
        </w:tc>
        <w:tc>
          <w:tcPr>
            <w:tcW w:w="1001"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53,442.6</w:t>
            </w:r>
          </w:p>
        </w:tc>
        <w:tc>
          <w:tcPr>
            <w:tcW w:w="1100"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58,238.5</w:t>
            </w:r>
          </w:p>
        </w:tc>
        <w:tc>
          <w:tcPr>
            <w:tcW w:w="1100"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63,284.9</w:t>
            </w:r>
          </w:p>
        </w:tc>
        <w:tc>
          <w:tcPr>
            <w:tcW w:w="1100"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68,573.0</w:t>
            </w:r>
          </w:p>
        </w:tc>
        <w:tc>
          <w:tcPr>
            <w:tcW w:w="1100" w:type="dxa"/>
            <w:shd w:val="clear" w:color="auto" w:fill="auto"/>
            <w:noWrap/>
            <w:vAlign w:val="center"/>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p>
        </w:tc>
      </w:tr>
      <w:tr w:rsidR="00225C05" w:rsidRPr="00C9780C" w:rsidTr="00B120F5">
        <w:trPr>
          <w:trHeight w:val="300"/>
        </w:trPr>
        <w:tc>
          <w:tcPr>
            <w:tcW w:w="4176"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1001"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49,407.3</w:t>
            </w:r>
          </w:p>
        </w:tc>
        <w:tc>
          <w:tcPr>
            <w:tcW w:w="1001"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58,427.9</w:t>
            </w:r>
          </w:p>
        </w:tc>
        <w:tc>
          <w:tcPr>
            <w:tcW w:w="110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64,720.6</w:t>
            </w:r>
          </w:p>
        </w:tc>
        <w:tc>
          <w:tcPr>
            <w:tcW w:w="110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70,328.6</w:t>
            </w:r>
          </w:p>
        </w:tc>
        <w:tc>
          <w:tcPr>
            <w:tcW w:w="110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76,205.3</w:t>
            </w:r>
          </w:p>
        </w:tc>
        <w:tc>
          <w:tcPr>
            <w:tcW w:w="110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82,573.0</w:t>
            </w:r>
          </w:p>
        </w:tc>
      </w:tr>
    </w:tbl>
    <w:p w:rsidR="00014376" w:rsidRPr="00C9780C" w:rsidRDefault="00014376" w:rsidP="00C9780C">
      <w:pPr>
        <w:pStyle w:val="NoSpacing"/>
        <w:spacing w:line="276" w:lineRule="auto"/>
        <w:jc w:val="both"/>
        <w:rPr>
          <w:rFonts w:ascii="Sylfaen" w:hAnsi="Sylfaen"/>
          <w:lang w:val="ka-GE"/>
        </w:rPr>
      </w:pPr>
    </w:p>
    <w:p w:rsidR="00C9780C" w:rsidRPr="00C9780C" w:rsidRDefault="00C9780C" w:rsidP="00C9780C">
      <w:pPr>
        <w:pStyle w:val="NoSpacing"/>
        <w:spacing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3. ნაერთი ბიუჯეტი</w:t>
      </w:r>
    </w:p>
    <w:tbl>
      <w:tblPr>
        <w:tblW w:w="10578" w:type="dxa"/>
        <w:tblInd w:w="-28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176"/>
        <w:gridCol w:w="1001"/>
        <w:gridCol w:w="1001"/>
        <w:gridCol w:w="1100"/>
        <w:gridCol w:w="1100"/>
        <w:gridCol w:w="1100"/>
        <w:gridCol w:w="1100"/>
      </w:tblGrid>
      <w:tr w:rsidR="00014376" w:rsidRPr="00C9780C" w:rsidTr="00B120F5">
        <w:trPr>
          <w:trHeight w:val="315"/>
          <w:tblHeader/>
        </w:trPr>
        <w:tc>
          <w:tcPr>
            <w:tcW w:w="4176"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1001"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110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B120F5" w:rsidRPr="00C9780C" w:rsidTr="00B120F5">
        <w:trPr>
          <w:trHeight w:val="315"/>
          <w:tblHeader/>
        </w:trPr>
        <w:tc>
          <w:tcPr>
            <w:tcW w:w="4176" w:type="dxa"/>
            <w:shd w:val="clear" w:color="auto" w:fill="auto"/>
            <w:noWrap/>
            <w:vAlign w:val="bottom"/>
            <w:hideMark/>
          </w:tcPr>
          <w:p w:rsidR="00B120F5" w:rsidRPr="00C9780C" w:rsidRDefault="00B120F5" w:rsidP="00B120F5">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1001" w:type="dxa"/>
            <w:shd w:val="clear" w:color="auto" w:fill="auto"/>
            <w:noWrap/>
            <w:vAlign w:val="bottom"/>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1001" w:type="dxa"/>
            <w:shd w:val="clear" w:color="auto" w:fill="auto"/>
            <w:noWrap/>
            <w:vAlign w:val="bottom"/>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c>
          <w:tcPr>
            <w:tcW w:w="1100" w:type="dxa"/>
            <w:shd w:val="clear" w:color="auto" w:fill="auto"/>
            <w:noWrap/>
            <w:hideMark/>
          </w:tcPr>
          <w:p w:rsidR="00B120F5" w:rsidRPr="00C9780C" w:rsidRDefault="00B120F5" w:rsidP="00B120F5">
            <w:pPr>
              <w:spacing w:after="0" w:line="240" w:lineRule="auto"/>
              <w:jc w:val="center"/>
              <w:rPr>
                <w:rFonts w:ascii="Sylfaen" w:eastAsia="Times New Roman" w:hAnsi="Sylfaen" w:cs="Calibri"/>
                <w:b/>
                <w:color w:val="000000"/>
                <w:sz w:val="18"/>
                <w:szCs w:val="18"/>
              </w:rPr>
            </w:pPr>
            <w:r w:rsidRPr="00986178">
              <w:rPr>
                <w:rFonts w:ascii="Sylfaen" w:eastAsia="Times New Roman" w:hAnsi="Sylfaen" w:cs="Calibri"/>
                <w:b/>
                <w:color w:val="000000"/>
                <w:sz w:val="18"/>
                <w:szCs w:val="18"/>
              </w:rPr>
              <w:t>პროგნ</w:t>
            </w:r>
            <w:r w:rsidRPr="00986178">
              <w:rPr>
                <w:rFonts w:ascii="Sylfaen" w:eastAsia="Times New Roman" w:hAnsi="Sylfaen" w:cs="Calibri"/>
                <w:b/>
                <w:color w:val="000000"/>
                <w:sz w:val="18"/>
                <w:szCs w:val="18"/>
                <w:lang w:val="ka-GE"/>
              </w:rPr>
              <w:t>ოზი</w:t>
            </w:r>
          </w:p>
        </w:tc>
      </w:tr>
      <w:tr w:rsidR="00225C05" w:rsidRPr="00C9780C" w:rsidTr="00B120F5">
        <w:trPr>
          <w:trHeight w:val="315"/>
        </w:trPr>
        <w:tc>
          <w:tcPr>
            <w:tcW w:w="4176" w:type="dxa"/>
            <w:shd w:val="clear" w:color="auto" w:fill="auto"/>
            <w:noWrap/>
            <w:vAlign w:val="bottom"/>
            <w:hideMark/>
          </w:tcPr>
          <w:p w:rsidR="00225C05" w:rsidRPr="00573B92" w:rsidRDefault="00225C05" w:rsidP="00225C05">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შემოსავლების ძველი პროგნოზი</w:t>
            </w:r>
            <w:r w:rsidR="00573B92">
              <w:rPr>
                <w:rFonts w:ascii="Sylfaen" w:eastAsia="Times New Roman" w:hAnsi="Sylfaen" w:cs="Calibri"/>
                <w:b/>
                <w:bCs/>
                <w:color w:val="000000"/>
                <w:sz w:val="18"/>
                <w:szCs w:val="18"/>
                <w:lang w:val="ka-GE"/>
              </w:rPr>
              <w:t xml:space="preserve"> </w:t>
            </w:r>
            <w:r w:rsidR="00573B92" w:rsidRPr="00573B92">
              <w:rPr>
                <w:rFonts w:ascii="Sylfaen" w:eastAsia="Times New Roman" w:hAnsi="Sylfaen" w:cs="Calibri"/>
                <w:b/>
                <w:bCs/>
                <w:color w:val="000000"/>
                <w:sz w:val="18"/>
              </w:rPr>
              <w:t xml:space="preserve">(2020 </w:t>
            </w:r>
            <w:r w:rsidR="00573B92"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12,626.0</w:t>
            </w:r>
          </w:p>
        </w:tc>
        <w:tc>
          <w:tcPr>
            <w:tcW w:w="1001"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13,402.0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14,969.0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16,331.0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17,827.0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p>
        </w:tc>
      </w:tr>
      <w:tr w:rsidR="00225C05" w:rsidRPr="00C9780C" w:rsidTr="00B120F5">
        <w:trPr>
          <w:trHeight w:val="300"/>
        </w:trPr>
        <w:tc>
          <w:tcPr>
            <w:tcW w:w="4176"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001"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-219.0</w:t>
            </w:r>
          </w:p>
        </w:tc>
        <w:tc>
          <w:tcPr>
            <w:tcW w:w="1001"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1,177.0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1,513.0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1,618.0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1,585.0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p>
        </w:tc>
      </w:tr>
      <w:tr w:rsidR="00225C05" w:rsidRPr="00C9780C" w:rsidTr="00B120F5">
        <w:trPr>
          <w:trHeight w:val="300"/>
        </w:trPr>
        <w:tc>
          <w:tcPr>
            <w:tcW w:w="4176"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მ.შ. გადასახადები</w:t>
            </w:r>
          </w:p>
        </w:tc>
        <w:tc>
          <w:tcPr>
            <w:tcW w:w="1001"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-85.6</w:t>
            </w:r>
          </w:p>
        </w:tc>
        <w:tc>
          <w:tcPr>
            <w:tcW w:w="1001"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877.0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1,733.0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1,709.0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r w:rsidRPr="00225C05">
              <w:rPr>
                <w:rFonts w:ascii="Sylfaen" w:eastAsia="Times New Roman" w:hAnsi="Sylfaen" w:cs="Calibri"/>
                <w:bCs/>
                <w:color w:val="000000"/>
                <w:sz w:val="18"/>
                <w:szCs w:val="18"/>
              </w:rPr>
              <w:t>1,701.0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Cs/>
                <w:color w:val="000000"/>
                <w:sz w:val="18"/>
                <w:szCs w:val="18"/>
              </w:rPr>
            </w:pPr>
          </w:p>
        </w:tc>
      </w:tr>
      <w:tr w:rsidR="00225C05" w:rsidRPr="00C9780C" w:rsidTr="00B120F5">
        <w:trPr>
          <w:trHeight w:val="315"/>
        </w:trPr>
        <w:tc>
          <w:tcPr>
            <w:tcW w:w="4176"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შემოსავლების ახალი პროგნოზი</w:t>
            </w:r>
          </w:p>
        </w:tc>
        <w:tc>
          <w:tcPr>
            <w:tcW w:w="1001"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12,407.0</w:t>
            </w:r>
          </w:p>
        </w:tc>
        <w:tc>
          <w:tcPr>
            <w:tcW w:w="1001"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14,579.0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16,482.0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17,949.0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19,412.0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20,996.0</w:t>
            </w:r>
          </w:p>
        </w:tc>
      </w:tr>
      <w:tr w:rsidR="00225C05" w:rsidRPr="00C9780C" w:rsidTr="00B120F5">
        <w:trPr>
          <w:trHeight w:val="315"/>
        </w:trPr>
        <w:tc>
          <w:tcPr>
            <w:tcW w:w="4176" w:type="dxa"/>
            <w:shd w:val="clear" w:color="auto" w:fill="auto"/>
            <w:noWrap/>
            <w:vAlign w:val="bottom"/>
            <w:hideMark/>
          </w:tcPr>
          <w:p w:rsidR="00225C05" w:rsidRPr="00573B92" w:rsidRDefault="00225C05" w:rsidP="00225C05">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ხარჯები და არა ფინანსური აქტივების ძველი პროგნოზი</w:t>
            </w:r>
            <w:r w:rsidR="00573B92">
              <w:rPr>
                <w:rFonts w:ascii="Sylfaen" w:eastAsia="Times New Roman" w:hAnsi="Sylfaen" w:cs="Calibri"/>
                <w:b/>
                <w:bCs/>
                <w:color w:val="000000"/>
                <w:sz w:val="18"/>
                <w:szCs w:val="18"/>
                <w:lang w:val="ka-GE"/>
              </w:rPr>
              <w:t xml:space="preserve"> </w:t>
            </w:r>
            <w:r w:rsidR="00573B92" w:rsidRPr="00573B92">
              <w:rPr>
                <w:rFonts w:ascii="Sylfaen" w:eastAsia="Times New Roman" w:hAnsi="Sylfaen" w:cs="Calibri"/>
                <w:b/>
                <w:bCs/>
                <w:color w:val="000000"/>
                <w:sz w:val="18"/>
              </w:rPr>
              <w:t xml:space="preserve">(2020 </w:t>
            </w:r>
            <w:r w:rsidR="00573B92" w:rsidRPr="00573B92">
              <w:rPr>
                <w:rFonts w:ascii="Sylfaen" w:eastAsia="Times New Roman" w:hAnsi="Sylfaen" w:cs="Calibri"/>
                <w:b/>
                <w:bCs/>
                <w:color w:val="000000"/>
                <w:sz w:val="18"/>
                <w:lang w:val="ka-GE"/>
              </w:rPr>
              <w:t>წლის დეკემბერი)</w:t>
            </w:r>
          </w:p>
        </w:tc>
        <w:tc>
          <w:tcPr>
            <w:tcW w:w="1001"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16,976.0</w:t>
            </w:r>
          </w:p>
        </w:tc>
        <w:tc>
          <w:tcPr>
            <w:tcW w:w="1001"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17,643.0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17,618.0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18,394.0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19,723.0</w:t>
            </w:r>
          </w:p>
        </w:tc>
        <w:tc>
          <w:tcPr>
            <w:tcW w:w="110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color w:val="000000"/>
                <w:sz w:val="18"/>
                <w:szCs w:val="18"/>
              </w:rPr>
            </w:pPr>
          </w:p>
        </w:tc>
      </w:tr>
      <w:tr w:rsidR="00225C05" w:rsidRPr="00C9780C" w:rsidTr="00B120F5">
        <w:trPr>
          <w:trHeight w:val="315"/>
        </w:trPr>
        <w:tc>
          <w:tcPr>
            <w:tcW w:w="4176"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ხარჯები და არა</w:t>
            </w:r>
            <w:r w:rsidRPr="00C9780C">
              <w:rPr>
                <w:rFonts w:ascii="Sylfaen" w:eastAsia="Times New Roman" w:hAnsi="Sylfaen" w:cs="Calibri"/>
                <w:b/>
                <w:bCs/>
                <w:color w:val="000000"/>
                <w:sz w:val="18"/>
                <w:szCs w:val="18"/>
              </w:rPr>
              <w:t>ფინანსური აქტივების ახალი პროგნოზი</w:t>
            </w:r>
          </w:p>
        </w:tc>
        <w:tc>
          <w:tcPr>
            <w:tcW w:w="1001"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17,189.1</w:t>
            </w:r>
          </w:p>
        </w:tc>
        <w:tc>
          <w:tcPr>
            <w:tcW w:w="1001"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19,039.0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19,559.0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20,142.0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21,576.0</w:t>
            </w:r>
          </w:p>
        </w:tc>
        <w:tc>
          <w:tcPr>
            <w:tcW w:w="110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color w:val="000000"/>
                <w:sz w:val="18"/>
                <w:szCs w:val="18"/>
              </w:rPr>
            </w:pPr>
            <w:r w:rsidRPr="00225C05">
              <w:rPr>
                <w:rFonts w:ascii="Sylfaen" w:eastAsia="Times New Roman" w:hAnsi="Sylfaen" w:cs="Calibri"/>
                <w:b/>
                <w:color w:val="000000"/>
                <w:sz w:val="18"/>
                <w:szCs w:val="18"/>
              </w:rPr>
              <w:t>23,160.0</w:t>
            </w:r>
          </w:p>
        </w:tc>
      </w:tr>
    </w:tbl>
    <w:p w:rsidR="00C9780C" w:rsidRDefault="00C9780C" w:rsidP="00C9780C">
      <w:pPr>
        <w:spacing w:after="0" w:line="276" w:lineRule="auto"/>
        <w:ind w:firstLine="567"/>
        <w:jc w:val="both"/>
        <w:rPr>
          <w:rFonts w:ascii="Sylfaen" w:hAnsi="Sylfaen"/>
          <w:lang w:val="ka-GE"/>
        </w:rPr>
      </w:pPr>
    </w:p>
    <w:p w:rsidR="00014376" w:rsidRPr="00C9780C" w:rsidRDefault="00014376" w:rsidP="00C9780C">
      <w:pPr>
        <w:spacing w:after="0" w:line="276" w:lineRule="auto"/>
        <w:ind w:firstLine="567"/>
        <w:jc w:val="both"/>
        <w:rPr>
          <w:rFonts w:ascii="Sylfaen" w:hAnsi="Sylfaen"/>
          <w:lang w:val="ka-GE"/>
        </w:rPr>
      </w:pPr>
      <w:r w:rsidRPr="00C9780C">
        <w:rPr>
          <w:rFonts w:ascii="Sylfaen" w:hAnsi="Sylfaen"/>
          <w:lang w:val="ka-GE"/>
        </w:rPr>
        <w:t xml:space="preserve">ნაერთი ბიუჯეტის საპროგნოზო მაჩვენებლების ცვლილება მოცემულია </w:t>
      </w:r>
      <w:r w:rsidRPr="00C9780C">
        <w:rPr>
          <w:rFonts w:ascii="Sylfaen" w:eastAsia="Times New Roman" w:hAnsi="Sylfaen" w:cs="Sylfaen"/>
          <w:bCs/>
          <w:color w:val="000000"/>
          <w:sz w:val="20"/>
          <w:szCs w:val="20"/>
        </w:rPr>
        <w:t>№</w:t>
      </w:r>
      <w:r w:rsidRPr="00C9780C">
        <w:rPr>
          <w:rFonts w:ascii="Sylfaen" w:hAnsi="Sylfaen"/>
          <w:lang w:val="ka-GE"/>
        </w:rPr>
        <w:t>3 ცხრილში. როგორც ვხედავთ</w:t>
      </w:r>
      <w:r w:rsidR="00C9780C">
        <w:rPr>
          <w:rFonts w:ascii="Sylfaen" w:hAnsi="Sylfaen"/>
          <w:lang w:val="en-GB"/>
        </w:rPr>
        <w:t>,</w:t>
      </w:r>
      <w:r w:rsidRPr="00C9780C">
        <w:rPr>
          <w:rFonts w:ascii="Sylfaen" w:hAnsi="Sylfaen"/>
          <w:lang w:val="ka-GE"/>
        </w:rPr>
        <w:t xml:space="preserve"> ნაერთი ბიუჯეტის შემოსავლების განახლებული საპროგნოზო მაჩვენებლები გაზრდილია, რაც ძირითადად გადასახადები</w:t>
      </w:r>
      <w:r w:rsidR="001E1A9C">
        <w:rPr>
          <w:rFonts w:ascii="Sylfaen" w:hAnsi="Sylfaen"/>
          <w:lang w:val="ka-GE"/>
        </w:rPr>
        <w:t>დან მიღებული შემოსავლების</w:t>
      </w:r>
      <w:r w:rsidRPr="00C9780C">
        <w:rPr>
          <w:rFonts w:ascii="Sylfaen" w:hAnsi="Sylfaen"/>
          <w:lang w:val="ka-GE"/>
        </w:rPr>
        <w:t xml:space="preserve"> ზრდით არის განპირობებული. გადასახადები</w:t>
      </w:r>
      <w:r w:rsidR="001E1A9C">
        <w:rPr>
          <w:rFonts w:ascii="Sylfaen" w:hAnsi="Sylfaen"/>
          <w:lang w:val="ka-GE"/>
        </w:rPr>
        <w:t>დან მიღებული შემოსავალის</w:t>
      </w:r>
      <w:r w:rsidRPr="00C9780C">
        <w:rPr>
          <w:rFonts w:ascii="Sylfaen" w:hAnsi="Sylfaen"/>
          <w:lang w:val="ka-GE"/>
        </w:rPr>
        <w:t xml:space="preserve"> ზრდა ბუნებრივია უკავშირდება ეკონომიკური ზრდისა და ინფლაციის პროგნოზების ზრდის მიმართულებით </w:t>
      </w:r>
      <w:r w:rsidR="000E4929">
        <w:rPr>
          <w:rFonts w:ascii="Sylfaen" w:hAnsi="Sylfaen"/>
          <w:lang w:val="ka-GE"/>
        </w:rPr>
        <w:t>გადახ</w:t>
      </w:r>
      <w:r w:rsidRPr="00C9780C">
        <w:rPr>
          <w:rFonts w:ascii="Sylfaen" w:hAnsi="Sylfaen"/>
          <w:lang w:val="ka-GE"/>
        </w:rPr>
        <w:t xml:space="preserve">ედვას. </w:t>
      </w:r>
    </w:p>
    <w:p w:rsidR="00014376" w:rsidRPr="00C9780C" w:rsidRDefault="00014376" w:rsidP="00C9780C">
      <w:pPr>
        <w:spacing w:after="0" w:line="276" w:lineRule="auto"/>
        <w:ind w:firstLine="567"/>
        <w:jc w:val="both"/>
        <w:rPr>
          <w:rFonts w:ascii="Sylfaen" w:hAnsi="Sylfaen"/>
          <w:lang w:val="ka-GE"/>
        </w:rPr>
      </w:pPr>
      <w:r w:rsidRPr="00FD2251">
        <w:rPr>
          <w:rFonts w:ascii="Sylfaen" w:hAnsi="Sylfaen"/>
          <w:lang w:val="ka-GE"/>
        </w:rPr>
        <w:t>უნდა აღინიშნოს, რომ საგადასახადო შემოსავლების მიმდინარე პროგნოზში ასახულია აგრეთვე პანდემიურ პერიოდში გაწესებული დროებითი</w:t>
      </w:r>
      <w:r w:rsidR="00C9780C" w:rsidRPr="00FD2251">
        <w:rPr>
          <w:rFonts w:ascii="Sylfaen" w:hAnsi="Sylfaen"/>
          <w:lang w:val="en-GB"/>
        </w:rPr>
        <w:t xml:space="preserve"> </w:t>
      </w:r>
      <w:r w:rsidRPr="00FD2251">
        <w:rPr>
          <w:rFonts w:ascii="Sylfaen" w:hAnsi="Sylfaen"/>
          <w:lang w:val="ka-GE"/>
        </w:rPr>
        <w:t xml:space="preserve">საგადასახადო ღონისძიებების ეფექტიც, რომლებსაც გავლენა </w:t>
      </w:r>
      <w:r w:rsidR="00C9780C" w:rsidRPr="00FD2251">
        <w:rPr>
          <w:rFonts w:ascii="Sylfaen" w:hAnsi="Sylfaen"/>
          <w:lang w:val="ka-GE"/>
        </w:rPr>
        <w:t>ჰ</w:t>
      </w:r>
      <w:r w:rsidRPr="00FD2251">
        <w:rPr>
          <w:rFonts w:ascii="Sylfaen" w:hAnsi="Sylfaen"/>
          <w:lang w:val="ka-GE"/>
        </w:rPr>
        <w:t>ქონდა წლის პირველი ნახევრის შემოსავლებზე. ჯამში აღნიშნული შეღავათების ეფექტმა 2021 წელს 270 მლნ ლარი შეადგინა.</w:t>
      </w:r>
    </w:p>
    <w:p w:rsidR="00014376" w:rsidRPr="00C9780C" w:rsidRDefault="00014376" w:rsidP="00C9780C">
      <w:pPr>
        <w:spacing w:after="0" w:line="276" w:lineRule="auto"/>
        <w:ind w:firstLine="567"/>
        <w:jc w:val="both"/>
        <w:rPr>
          <w:rFonts w:ascii="Sylfaen" w:hAnsi="Sylfaen"/>
          <w:lang w:val="ka-GE"/>
        </w:rPr>
      </w:pPr>
      <w:r w:rsidRPr="00C9780C">
        <w:rPr>
          <w:rFonts w:ascii="Sylfaen" w:hAnsi="Sylfaen"/>
          <w:lang w:val="ka-GE"/>
        </w:rPr>
        <w:t xml:space="preserve">გაზრდილია აგრეთვე ხარჯებისა და არაფინანსური აქტივების ზრდის მაჩვენებელი, რისი მიზეზიც ერთი მხრივ ჯანდაცვის ხარჯები, ხოლო მეორე მხრივ </w:t>
      </w:r>
      <w:r w:rsidR="000E4929">
        <w:rPr>
          <w:rFonts w:ascii="Sylfaen" w:hAnsi="Sylfaen"/>
          <w:lang w:val="ka-GE"/>
        </w:rPr>
        <w:t xml:space="preserve">ეკონომიკური აღდგენის ხელშეწყობის მიზნით ინფრასტრუქტურული პროექტების, სოფლის მეურნეობის და მწარმოებლური სექტორების დამატებითი დაფინანსებაა. </w:t>
      </w:r>
    </w:p>
    <w:p w:rsidR="00C9780C" w:rsidRPr="00C9780C" w:rsidDel="00166AB5" w:rsidRDefault="00C9780C" w:rsidP="00C9780C">
      <w:pPr>
        <w:spacing w:before="240" w:after="0" w:line="276" w:lineRule="auto"/>
        <w:jc w:val="both"/>
        <w:rPr>
          <w:rFonts w:ascii="Sylfaen" w:hAnsi="Sylfaen"/>
          <w:sz w:val="20"/>
          <w:szCs w:val="20"/>
          <w:lang w:val="ka-GE"/>
        </w:rPr>
      </w:pPr>
      <w:r w:rsidRPr="00C9780C">
        <w:rPr>
          <w:rFonts w:ascii="Sylfaen" w:eastAsia="Times New Roman" w:hAnsi="Sylfaen" w:cs="Calibri"/>
          <w:b/>
          <w:bCs/>
          <w:color w:val="000000"/>
          <w:sz w:val="20"/>
          <w:szCs w:val="20"/>
        </w:rPr>
        <w:t>ცხრ</w:t>
      </w:r>
      <w:r w:rsidRPr="00C9780C">
        <w:rPr>
          <w:rFonts w:ascii="Sylfaen" w:eastAsia="Times New Roman" w:hAnsi="Sylfaen" w:cs="Calibri"/>
          <w:b/>
          <w:bCs/>
          <w:color w:val="000000"/>
          <w:sz w:val="20"/>
          <w:szCs w:val="20"/>
          <w:lang w:val="ka-GE"/>
        </w:rPr>
        <w:t xml:space="preserve">ილი </w:t>
      </w:r>
      <w:r w:rsidRPr="00C9780C">
        <w:rPr>
          <w:rFonts w:ascii="Sylfaen" w:hAnsi="Sylfaen"/>
          <w:b/>
          <w:sz w:val="20"/>
          <w:szCs w:val="20"/>
          <w:lang w:val="ka-GE"/>
        </w:rPr>
        <w:t>№</w:t>
      </w:r>
      <w:r w:rsidRPr="00C9780C">
        <w:rPr>
          <w:rFonts w:ascii="Sylfaen" w:eastAsia="Times New Roman" w:hAnsi="Sylfaen" w:cs="Calibri"/>
          <w:b/>
          <w:bCs/>
          <w:color w:val="000000"/>
          <w:sz w:val="20"/>
          <w:szCs w:val="20"/>
        </w:rPr>
        <w:t>4</w:t>
      </w:r>
      <w:r w:rsidRPr="00C9780C">
        <w:rPr>
          <w:rFonts w:ascii="Sylfaen" w:eastAsia="Times New Roman" w:hAnsi="Sylfaen" w:cs="Calibri"/>
          <w:b/>
          <w:bCs/>
          <w:color w:val="000000"/>
          <w:sz w:val="20"/>
          <w:szCs w:val="20"/>
          <w:lang w:val="ka-GE"/>
        </w:rPr>
        <w:t xml:space="preserve"> მიმდინარე ანგარიშის ბალანსი</w:t>
      </w:r>
    </w:p>
    <w:tbl>
      <w:tblPr>
        <w:tblW w:w="10080"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20"/>
        <w:gridCol w:w="960"/>
        <w:gridCol w:w="960"/>
        <w:gridCol w:w="960"/>
        <w:gridCol w:w="960"/>
        <w:gridCol w:w="960"/>
        <w:gridCol w:w="960"/>
      </w:tblGrid>
      <w:tr w:rsidR="00014376" w:rsidRPr="00C9780C" w:rsidTr="00597F97">
        <w:trPr>
          <w:trHeight w:val="113"/>
        </w:trPr>
        <w:tc>
          <w:tcPr>
            <w:tcW w:w="4320" w:type="dxa"/>
            <w:shd w:val="clear" w:color="auto" w:fill="auto"/>
            <w:noWrap/>
            <w:vAlign w:val="bottom"/>
            <w:hideMark/>
          </w:tcPr>
          <w:p w:rsidR="00014376" w:rsidRPr="00C9780C" w:rsidRDefault="00C9780C" w:rsidP="00014376">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00014376" w:rsidRPr="00C9780C">
              <w:rPr>
                <w:rFonts w:ascii="Sylfaen" w:eastAsia="Times New Roman" w:hAnsi="Sylfaen" w:cs="Calibri"/>
                <w:b/>
                <w:bCs/>
                <w:color w:val="000000"/>
                <w:sz w:val="18"/>
                <w:szCs w:val="18"/>
              </w:rPr>
              <w:t>მდინარე ანგარიში</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2020</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2021</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2022</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2023</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2024</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2025</w:t>
            </w:r>
          </w:p>
        </w:tc>
      </w:tr>
      <w:tr w:rsidR="00014376" w:rsidRPr="00C9780C" w:rsidTr="00597F97">
        <w:trPr>
          <w:trHeight w:val="113"/>
        </w:trPr>
        <w:tc>
          <w:tcPr>
            <w:tcW w:w="4320" w:type="dxa"/>
            <w:shd w:val="clear" w:color="auto" w:fill="auto"/>
            <w:noWrap/>
            <w:vAlign w:val="bottom"/>
            <w:hideMark/>
          </w:tcPr>
          <w:p w:rsidR="00014376" w:rsidRPr="00C9780C" w:rsidRDefault="00014376" w:rsidP="00014376">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960" w:type="dxa"/>
            <w:shd w:val="clear" w:color="auto" w:fill="auto"/>
            <w:noWrap/>
            <w:vAlign w:val="bottom"/>
            <w:hideMark/>
          </w:tcPr>
          <w:p w:rsidR="00014376" w:rsidRPr="00C9780C" w:rsidRDefault="00B120F5" w:rsidP="00C9780C">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c>
          <w:tcPr>
            <w:tcW w:w="960" w:type="dxa"/>
            <w:shd w:val="clear" w:color="auto" w:fill="auto"/>
            <w:noWrap/>
            <w:vAlign w:val="bottom"/>
            <w:hideMark/>
          </w:tcPr>
          <w:p w:rsidR="00014376" w:rsidRPr="00C9780C" w:rsidRDefault="00014376" w:rsidP="00C9780C">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პროგნ.</w:t>
            </w:r>
          </w:p>
        </w:tc>
      </w:tr>
      <w:tr w:rsidR="00225C05" w:rsidRPr="00C9780C" w:rsidTr="00597F97">
        <w:trPr>
          <w:trHeight w:val="113"/>
        </w:trPr>
        <w:tc>
          <w:tcPr>
            <w:tcW w:w="4320" w:type="dxa"/>
            <w:shd w:val="clear" w:color="auto" w:fill="auto"/>
            <w:noWrap/>
            <w:vAlign w:val="bottom"/>
            <w:hideMark/>
          </w:tcPr>
          <w:p w:rsidR="00225C05" w:rsidRPr="00573B92" w:rsidRDefault="00225C05" w:rsidP="00225C05">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sidR="00573B92">
              <w:rPr>
                <w:rFonts w:ascii="Sylfaen" w:eastAsia="Times New Roman" w:hAnsi="Sylfaen" w:cs="Calibri"/>
                <w:b/>
                <w:bCs/>
                <w:color w:val="000000"/>
                <w:sz w:val="18"/>
                <w:szCs w:val="18"/>
                <w:lang w:val="ka-GE"/>
              </w:rPr>
              <w:t xml:space="preserve"> </w:t>
            </w:r>
            <w:r w:rsidR="00573B92" w:rsidRPr="00573B92">
              <w:rPr>
                <w:rFonts w:ascii="Sylfaen" w:eastAsia="Times New Roman" w:hAnsi="Sylfaen" w:cs="Calibri"/>
                <w:b/>
                <w:bCs/>
                <w:color w:val="000000"/>
                <w:sz w:val="18"/>
              </w:rPr>
              <w:t xml:space="preserve">(2020 </w:t>
            </w:r>
            <w:r w:rsidR="00573B92" w:rsidRPr="00573B92">
              <w:rPr>
                <w:rFonts w:ascii="Sylfaen" w:eastAsia="Times New Roman" w:hAnsi="Sylfaen" w:cs="Calibri"/>
                <w:b/>
                <w:bCs/>
                <w:color w:val="000000"/>
                <w:sz w:val="18"/>
                <w:lang w:val="ka-GE"/>
              </w:rPr>
              <w:t>წლის დეკემბერი)</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-1,542.0</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-1,379.9</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-1,112.0</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-1,174.3</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-1,190.5</w:t>
            </w:r>
          </w:p>
        </w:tc>
        <w:tc>
          <w:tcPr>
            <w:tcW w:w="960" w:type="dxa"/>
            <w:shd w:val="clear" w:color="auto" w:fill="auto"/>
            <w:noWrap/>
            <w:vAlign w:val="center"/>
            <w:hideMark/>
          </w:tcPr>
          <w:p w:rsidR="00225C05" w:rsidRPr="00225C05" w:rsidRDefault="00225C05" w:rsidP="00573B92">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0.0</w:t>
            </w:r>
          </w:p>
        </w:tc>
      </w:tr>
      <w:tr w:rsidR="00225C05" w:rsidRPr="00C9780C" w:rsidTr="00597F97">
        <w:trPr>
          <w:trHeight w:val="113"/>
        </w:trPr>
        <w:tc>
          <w:tcPr>
            <w:tcW w:w="432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96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-423.0</w:t>
            </w:r>
          </w:p>
        </w:tc>
        <w:tc>
          <w:tcPr>
            <w:tcW w:w="96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-253.1</w:t>
            </w:r>
          </w:p>
        </w:tc>
        <w:tc>
          <w:tcPr>
            <w:tcW w:w="96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-615.4</w:t>
            </w:r>
          </w:p>
        </w:tc>
        <w:tc>
          <w:tcPr>
            <w:tcW w:w="96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-415.7</w:t>
            </w:r>
          </w:p>
        </w:tc>
        <w:tc>
          <w:tcPr>
            <w:tcW w:w="96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-434.9</w:t>
            </w:r>
          </w:p>
        </w:tc>
        <w:tc>
          <w:tcPr>
            <w:tcW w:w="960" w:type="dxa"/>
            <w:shd w:val="clear" w:color="auto" w:fill="auto"/>
            <w:noWrap/>
            <w:vAlign w:val="bottom"/>
            <w:hideMark/>
          </w:tcPr>
          <w:p w:rsidR="00225C05" w:rsidRPr="00225C05"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-1,474.9</w:t>
            </w:r>
          </w:p>
        </w:tc>
      </w:tr>
      <w:tr w:rsidR="00267A13" w:rsidRPr="00C9780C" w:rsidTr="00597F97">
        <w:trPr>
          <w:trHeight w:val="113"/>
        </w:trPr>
        <w:tc>
          <w:tcPr>
            <w:tcW w:w="4320" w:type="dxa"/>
            <w:shd w:val="clear" w:color="auto" w:fill="auto"/>
            <w:noWrap/>
            <w:vAlign w:val="bottom"/>
            <w:hideMark/>
          </w:tcPr>
          <w:p w:rsidR="00267A13" w:rsidRPr="00C9780C" w:rsidRDefault="00267A13" w:rsidP="00267A1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960" w:type="dxa"/>
            <w:shd w:val="clear" w:color="auto" w:fill="auto"/>
            <w:noWrap/>
            <w:vAlign w:val="bottom"/>
            <w:hideMark/>
          </w:tcPr>
          <w:p w:rsidR="00267A13" w:rsidRPr="00C9780C" w:rsidRDefault="00267A13" w:rsidP="00267A13">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-971.5</w:t>
            </w:r>
          </w:p>
        </w:tc>
        <w:tc>
          <w:tcPr>
            <w:tcW w:w="960" w:type="dxa"/>
            <w:shd w:val="clear" w:color="auto" w:fill="auto"/>
            <w:noWrap/>
            <w:vAlign w:val="bottom"/>
            <w:hideMark/>
          </w:tcPr>
          <w:p w:rsidR="00267A13" w:rsidRPr="00C9780C" w:rsidRDefault="00267A13" w:rsidP="00267A13">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-1,030.7</w:t>
            </w:r>
          </w:p>
        </w:tc>
        <w:tc>
          <w:tcPr>
            <w:tcW w:w="960" w:type="dxa"/>
            <w:shd w:val="clear" w:color="auto" w:fill="auto"/>
            <w:noWrap/>
            <w:vAlign w:val="bottom"/>
            <w:hideMark/>
          </w:tcPr>
          <w:p w:rsidR="00267A13" w:rsidRPr="00C9780C" w:rsidRDefault="00267A13" w:rsidP="00267A13">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-923.1</w:t>
            </w:r>
          </w:p>
        </w:tc>
        <w:tc>
          <w:tcPr>
            <w:tcW w:w="960" w:type="dxa"/>
            <w:shd w:val="clear" w:color="auto" w:fill="auto"/>
            <w:noWrap/>
            <w:vAlign w:val="bottom"/>
            <w:hideMark/>
          </w:tcPr>
          <w:p w:rsidR="00267A13" w:rsidRPr="00C9780C" w:rsidRDefault="00267A13" w:rsidP="00267A13">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-168.2</w:t>
            </w:r>
          </w:p>
        </w:tc>
        <w:tc>
          <w:tcPr>
            <w:tcW w:w="960" w:type="dxa"/>
            <w:shd w:val="clear" w:color="auto" w:fill="auto"/>
            <w:noWrap/>
            <w:vAlign w:val="bottom"/>
            <w:hideMark/>
          </w:tcPr>
          <w:p w:rsidR="00267A13" w:rsidRPr="00C9780C" w:rsidRDefault="00267A13" w:rsidP="00267A13">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88.7</w:t>
            </w:r>
          </w:p>
        </w:tc>
        <w:tc>
          <w:tcPr>
            <w:tcW w:w="960" w:type="dxa"/>
            <w:shd w:val="clear" w:color="auto" w:fill="auto"/>
            <w:noWrap/>
            <w:vAlign w:val="bottom"/>
            <w:hideMark/>
          </w:tcPr>
          <w:p w:rsidR="00267A13" w:rsidRPr="00C9780C" w:rsidRDefault="00267A13" w:rsidP="00267A13">
            <w:pPr>
              <w:spacing w:after="0" w:line="240" w:lineRule="auto"/>
              <w:jc w:val="right"/>
              <w:rPr>
                <w:rFonts w:ascii="Sylfaen" w:eastAsia="Times New Roman" w:hAnsi="Sylfaen" w:cs="Calibri"/>
                <w:color w:val="000000"/>
                <w:sz w:val="18"/>
                <w:szCs w:val="18"/>
              </w:rPr>
            </w:pPr>
            <w:r w:rsidRPr="00267A13">
              <w:rPr>
                <w:rFonts w:ascii="Sylfaen" w:eastAsia="Times New Roman" w:hAnsi="Sylfaen" w:cs="Calibri"/>
                <w:color w:val="000000"/>
                <w:sz w:val="18"/>
                <w:szCs w:val="18"/>
              </w:rPr>
              <w:t>-1,893.3</w:t>
            </w:r>
          </w:p>
        </w:tc>
      </w:tr>
      <w:tr w:rsidR="00225C05" w:rsidRPr="00C9780C" w:rsidTr="00597F97">
        <w:trPr>
          <w:trHeight w:val="113"/>
        </w:trPr>
        <w:tc>
          <w:tcPr>
            <w:tcW w:w="4320"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-27.8</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-120.9</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-363.8</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-708.0</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-1,042.7</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-1,749.8</w:t>
            </w:r>
          </w:p>
        </w:tc>
      </w:tr>
      <w:tr w:rsidR="00225C05" w:rsidRPr="00C9780C" w:rsidTr="00597F97">
        <w:trPr>
          <w:trHeight w:val="113"/>
        </w:trPr>
        <w:tc>
          <w:tcPr>
            <w:tcW w:w="4320" w:type="dxa"/>
            <w:shd w:val="clear" w:color="auto" w:fill="auto"/>
            <w:noWrap/>
            <w:vAlign w:val="bottom"/>
            <w:hideMark/>
          </w:tcPr>
          <w:p w:rsidR="00225C05" w:rsidRPr="00C9780C" w:rsidRDefault="00225C05" w:rsidP="00225C05">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576.3</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898.5</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671.5</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460.5</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519.1</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color w:val="000000"/>
                <w:sz w:val="18"/>
                <w:szCs w:val="18"/>
              </w:rPr>
            </w:pPr>
            <w:r w:rsidRPr="00225C05">
              <w:rPr>
                <w:rFonts w:ascii="Sylfaen" w:eastAsia="Times New Roman" w:hAnsi="Sylfaen" w:cs="Calibri"/>
                <w:color w:val="000000"/>
                <w:sz w:val="18"/>
                <w:szCs w:val="18"/>
              </w:rPr>
              <w:t>2,168.2</w:t>
            </w:r>
          </w:p>
        </w:tc>
      </w:tr>
      <w:tr w:rsidR="00225C05" w:rsidRPr="00C9780C" w:rsidTr="00597F97">
        <w:trPr>
          <w:trHeight w:val="113"/>
        </w:trPr>
        <w:tc>
          <w:tcPr>
            <w:tcW w:w="4320" w:type="dxa"/>
            <w:shd w:val="clear" w:color="auto" w:fill="auto"/>
            <w:noWrap/>
            <w:vAlign w:val="bottom"/>
            <w:hideMark/>
          </w:tcPr>
          <w:p w:rsidR="00225C05" w:rsidRPr="00C9780C" w:rsidRDefault="00225C05" w:rsidP="00225C05">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-1,965.0</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-1,633.0</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-1,727.4</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-1,590.1</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-1,625.4</w:t>
            </w:r>
          </w:p>
        </w:tc>
        <w:tc>
          <w:tcPr>
            <w:tcW w:w="960" w:type="dxa"/>
            <w:shd w:val="clear" w:color="auto" w:fill="auto"/>
            <w:noWrap/>
            <w:vAlign w:val="bottom"/>
            <w:hideMark/>
          </w:tcPr>
          <w:p w:rsidR="00225C05" w:rsidRPr="00C9780C" w:rsidRDefault="00225C05" w:rsidP="00225C05">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-1,474.9</w:t>
            </w:r>
          </w:p>
        </w:tc>
      </w:tr>
    </w:tbl>
    <w:p w:rsidR="00014376" w:rsidRPr="00C9780C" w:rsidRDefault="00014376" w:rsidP="00014376">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 საპროგნოზო მაჩვენებლები გაუარესებულია,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C9780C" w:rsidRDefault="00014376" w:rsidP="003F53B1">
      <w:pPr>
        <w:pStyle w:val="NoSpacing"/>
        <w:spacing w:line="276" w:lineRule="auto"/>
        <w:ind w:firstLine="567"/>
        <w:jc w:val="both"/>
        <w:rPr>
          <w:rFonts w:ascii="Sylfaen" w:hAnsi="Sylfaen"/>
          <w:lang w:val="ka-GE"/>
        </w:rPr>
      </w:pPr>
      <w:r w:rsidRPr="00C9780C">
        <w:rPr>
          <w:rFonts w:ascii="Sylfaen" w:hAnsi="Sylfaen"/>
          <w:lang w:val="ka-GE"/>
        </w:rPr>
        <w:t xml:space="preserve">შემცირებულია ფაქტორული შემოსავლების საპროგნოზო მაჩვენებლები. შემოსავლების საპროგნოზო მაჩვენებლებზე გავლენა მოახდინა ეკონომიკის გაზრდილმა ვალმა, როგორც საოპერაციო, ისე საკურსო ეფექტებით. გაზრდილი ვალი მომდევნო წლებში გამოიწვევს მომსახურების უფრო მაღალ ხარჯებს. </w:t>
      </w:r>
    </w:p>
    <w:p w:rsidR="00C9780C" w:rsidRDefault="00C9780C">
      <w:pPr>
        <w:rPr>
          <w:rFonts w:ascii="Sylfaen" w:hAnsi="Sylfaen"/>
          <w:lang w:val="ka-GE"/>
        </w:rPr>
      </w:pPr>
      <w:r>
        <w:rPr>
          <w:rFonts w:ascii="Sylfaen" w:hAnsi="Sylfaen"/>
          <w:lang w:val="ka-GE"/>
        </w:rPr>
        <w:br w:type="page"/>
      </w:r>
    </w:p>
    <w:p w:rsidR="007B6E63" w:rsidRPr="00C9780C" w:rsidRDefault="007B6E63" w:rsidP="007B6E63">
      <w:pPr>
        <w:pStyle w:val="Heading1"/>
        <w:numPr>
          <w:ilvl w:val="0"/>
          <w:numId w:val="1"/>
        </w:numPr>
        <w:rPr>
          <w:rFonts w:ascii="Sylfaen" w:hAnsi="Sylfaen" w:cs="Sylfaen"/>
          <w:b/>
          <w:sz w:val="28"/>
          <w:lang w:val="ka-GE"/>
        </w:rPr>
      </w:pPr>
      <w:bookmarkStart w:id="1" w:name="_Toc83927010"/>
      <w:r w:rsidRPr="00C9780C">
        <w:rPr>
          <w:rFonts w:ascii="Sylfaen" w:hAnsi="Sylfaen" w:cs="Sylfaen"/>
          <w:b/>
          <w:sz w:val="28"/>
          <w:lang w:val="ka-GE"/>
        </w:rPr>
        <w:t>ფისკალური</w:t>
      </w:r>
      <w:r w:rsidRPr="00C9780C">
        <w:rPr>
          <w:rFonts w:ascii="Sylfaen" w:hAnsi="Sylfaen"/>
          <w:b/>
          <w:sz w:val="28"/>
          <w:lang w:val="ka-GE"/>
        </w:rPr>
        <w:t xml:space="preserve"> </w:t>
      </w:r>
      <w:r w:rsidRPr="00C9780C">
        <w:rPr>
          <w:rFonts w:ascii="Sylfaen" w:hAnsi="Sylfaen" w:cs="Sylfaen"/>
          <w:b/>
          <w:sz w:val="28"/>
          <w:lang w:val="ka-GE"/>
        </w:rPr>
        <w:t>ჩარჩო</w:t>
      </w:r>
      <w:r w:rsidR="00370834" w:rsidRPr="00C9780C">
        <w:rPr>
          <w:rFonts w:ascii="Sylfaen" w:hAnsi="Sylfaen" w:cs="Sylfaen"/>
          <w:b/>
          <w:sz w:val="28"/>
          <w:lang w:val="ka-GE"/>
        </w:rPr>
        <w:t xml:space="preserve"> და ფისკალური წესებით გათვალისწინებულ ზღვრებში დაბრუნების </w:t>
      </w:r>
      <w:r w:rsidR="0012041B" w:rsidRPr="00C9780C">
        <w:rPr>
          <w:rFonts w:ascii="Sylfaen" w:hAnsi="Sylfaen" w:cs="Sylfaen"/>
          <w:b/>
          <w:sz w:val="28"/>
          <w:lang w:val="ka-GE"/>
        </w:rPr>
        <w:t>პროგნოზი</w:t>
      </w:r>
      <w:bookmarkEnd w:id="1"/>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2" w:name="_Toc83927011"/>
      <w:r w:rsidRPr="00C9780C">
        <w:rPr>
          <w:rFonts w:ascii="Sylfaen" w:hAnsi="Sylfaen"/>
          <w:lang w:val="ka-GE"/>
        </w:rPr>
        <w:t>2.1 ფისკალური ჩარჩოს შედარება</w:t>
      </w:r>
      <w:bookmarkEnd w:id="2"/>
    </w:p>
    <w:p w:rsidR="00AD738A" w:rsidRPr="00C9780C" w:rsidRDefault="00AD738A" w:rsidP="00C8711F">
      <w:pPr>
        <w:jc w:val="right"/>
        <w:rPr>
          <w:rFonts w:ascii="Sylfaen" w:hAnsi="Sylfaen"/>
          <w:b/>
          <w:i/>
          <w:sz w:val="18"/>
          <w:u w:val="single"/>
        </w:rPr>
      </w:pPr>
    </w:p>
    <w:p w:rsidR="00AD738A" w:rsidRPr="000E4929" w:rsidRDefault="00AD738A" w:rsidP="00077298">
      <w:pPr>
        <w:spacing w:after="0" w:line="276" w:lineRule="auto"/>
        <w:ind w:firstLine="720"/>
        <w:jc w:val="both"/>
        <w:rPr>
          <w:rFonts w:ascii="Sylfaen" w:hAnsi="Sylfaen" w:cs="Sylfaen"/>
          <w:lang w:val="ka-GE"/>
        </w:rPr>
      </w:pPr>
      <w:r w:rsidRPr="000E4929">
        <w:rPr>
          <w:rFonts w:ascii="Sylfaen" w:hAnsi="Sylfaen" w:cs="Sylfaen"/>
          <w:lang w:val="ka-GE"/>
        </w:rPr>
        <w:t>2020-2023 წლ</w:t>
      </w:r>
      <w:r w:rsidR="004D1FDB" w:rsidRPr="000E4929">
        <w:rPr>
          <w:rFonts w:ascii="Sylfaen" w:hAnsi="Sylfaen" w:cs="Sylfaen"/>
          <w:lang w:val="ka-GE"/>
        </w:rPr>
        <w:t>ებ</w:t>
      </w:r>
      <w:r w:rsidRPr="000E4929">
        <w:rPr>
          <w:rFonts w:ascii="Sylfaen" w:hAnsi="Sylfaen" w:cs="Sylfaen"/>
          <w:lang w:val="ka-GE"/>
        </w:rPr>
        <w:t>ის მაკროეკონომიკური და ფისკალური პარამეტრების პროგნოზები</w:t>
      </w:r>
      <w:r w:rsidR="0087013E">
        <w:rPr>
          <w:rFonts w:ascii="Sylfaen" w:hAnsi="Sylfaen" w:cs="Sylfaen"/>
          <w:lang w:val="ka-GE"/>
        </w:rPr>
        <w:t>, რომელიც მომზადდა 2019 წლის ბოლოსთვის,</w:t>
      </w:r>
      <w:r w:rsidRPr="000E4929">
        <w:rPr>
          <w:rFonts w:ascii="Sylfaen" w:hAnsi="Sylfaen" w:cs="Sylfaen"/>
          <w:lang w:val="ka-GE"/>
        </w:rPr>
        <w:t xml:space="preserve"> სრულად შეცვალა</w:t>
      </w:r>
      <w:r w:rsidRPr="000E4929">
        <w:rPr>
          <w:rFonts w:ascii="Sylfaen" w:hAnsi="Sylfaen" w:cs="Sylfaen"/>
        </w:rPr>
        <w:t xml:space="preserve"> </w:t>
      </w:r>
      <w:r w:rsidR="004D1FDB" w:rsidRPr="000E4929">
        <w:rPr>
          <w:rFonts w:ascii="Sylfaen" w:hAnsi="Sylfaen" w:cs="Sylfaen"/>
          <w:lang w:val="ka-GE"/>
        </w:rPr>
        <w:t xml:space="preserve">ახალი </w:t>
      </w:r>
      <w:r w:rsidRPr="000E4929">
        <w:rPr>
          <w:rFonts w:ascii="Sylfaen" w:hAnsi="Sylfaen" w:cs="Sylfaen"/>
          <w:lang w:val="ka-GE"/>
        </w:rPr>
        <w:t>კორონავირუსის</w:t>
      </w:r>
      <w:r w:rsidR="004D1FDB" w:rsidRPr="000E4929">
        <w:rPr>
          <w:rFonts w:ascii="Sylfaen" w:hAnsi="Sylfaen" w:cs="Sylfaen"/>
          <w:lang w:val="ka-GE"/>
        </w:rPr>
        <w:t xml:space="preserve"> (</w:t>
      </w:r>
      <w:r w:rsidR="004D1FDB" w:rsidRPr="000E4929">
        <w:rPr>
          <w:rFonts w:ascii="Sylfaen" w:hAnsi="Sylfaen" w:cs="Sylfaen"/>
        </w:rPr>
        <w:t>COVID-19)</w:t>
      </w:r>
      <w:r w:rsidRPr="000E4929">
        <w:rPr>
          <w:rFonts w:ascii="Sylfaen" w:hAnsi="Sylfaen" w:cs="Sylfaen"/>
          <w:lang w:val="ka-GE"/>
        </w:rPr>
        <w:t xml:space="preserve"> პანდემიამ და მნიშვნელოვანი კორექტირება განიცადა, როგორ</w:t>
      </w:r>
      <w:r w:rsidR="004D1FDB" w:rsidRPr="000E4929">
        <w:rPr>
          <w:rFonts w:ascii="Sylfaen" w:hAnsi="Sylfaen" w:cs="Sylfaen"/>
          <w:lang w:val="ka-GE"/>
        </w:rPr>
        <w:t>ც</w:t>
      </w:r>
      <w:r w:rsidRPr="000E4929">
        <w:rPr>
          <w:rFonts w:ascii="Sylfaen" w:hAnsi="Sylfaen" w:cs="Sylfaen"/>
          <w:lang w:val="ka-GE"/>
        </w:rPr>
        <w:t xml:space="preserve"> 2020 წლის</w:t>
      </w:r>
      <w:r w:rsidR="004D1FDB" w:rsidRPr="000E4929">
        <w:rPr>
          <w:rFonts w:ascii="Sylfaen" w:hAnsi="Sylfaen" w:cs="Sylfaen"/>
          <w:lang w:val="ka-GE"/>
        </w:rPr>
        <w:t>,</w:t>
      </w:r>
      <w:r w:rsidRPr="000E4929">
        <w:rPr>
          <w:rFonts w:ascii="Sylfaen" w:hAnsi="Sylfaen" w:cs="Sylfaen"/>
          <w:lang w:val="ka-GE"/>
        </w:rPr>
        <w:t xml:space="preserve"> ისე 2021-2024 წლების ფისკალურმა პროგნოზებმა. 2021-2024 წლები</w:t>
      </w:r>
      <w:r w:rsidR="004D1FDB" w:rsidRPr="000E4929">
        <w:rPr>
          <w:rFonts w:ascii="Sylfaen" w:hAnsi="Sylfaen" w:cs="Sylfaen"/>
          <w:lang w:val="ka-GE"/>
        </w:rPr>
        <w:t>ს</w:t>
      </w:r>
      <w:r w:rsidRPr="000E4929">
        <w:rPr>
          <w:rFonts w:ascii="Sylfaen" w:hAnsi="Sylfaen" w:cs="Sylfaen"/>
          <w:lang w:val="ka-GE"/>
        </w:rPr>
        <w:t xml:space="preserve"> განახლებული </w:t>
      </w:r>
      <w:r w:rsidR="00370834" w:rsidRPr="000E4929">
        <w:rPr>
          <w:rFonts w:ascii="Sylfaen" w:hAnsi="Sylfaen" w:cs="Sylfaen"/>
          <w:lang w:val="ka-GE"/>
        </w:rPr>
        <w:t>პროგნოზები</w:t>
      </w:r>
      <w:r w:rsidRPr="000E4929">
        <w:rPr>
          <w:rFonts w:ascii="Sylfaen" w:hAnsi="Sylfaen" w:cs="Sylfaen"/>
          <w:lang w:val="ka-GE"/>
        </w:rPr>
        <w:t xml:space="preserve"> </w:t>
      </w:r>
      <w:r w:rsidR="00370834" w:rsidRPr="000E4929">
        <w:rPr>
          <w:rFonts w:ascii="Sylfaen" w:hAnsi="Sylfaen" w:cs="Sylfaen"/>
          <w:lang w:val="ka-GE"/>
        </w:rPr>
        <w:t>ასახავ</w:t>
      </w:r>
      <w:r w:rsidR="00E479A4" w:rsidRPr="000E4929">
        <w:rPr>
          <w:rFonts w:ascii="Sylfaen" w:hAnsi="Sylfaen" w:cs="Sylfaen"/>
          <w:lang w:val="ka-GE"/>
        </w:rPr>
        <w:t>და</w:t>
      </w:r>
      <w:r w:rsidRPr="000E4929">
        <w:rPr>
          <w:rFonts w:ascii="Sylfaen" w:hAnsi="Sylfaen" w:cs="Sylfaen"/>
          <w:lang w:val="ka-GE"/>
        </w:rPr>
        <w:t xml:space="preserve"> </w:t>
      </w:r>
      <w:r w:rsidRPr="000E4929">
        <w:rPr>
          <w:rFonts w:ascii="Sylfaen" w:hAnsi="Sylfaen" w:cs="Sylfaen"/>
        </w:rPr>
        <w:t>COVID-19-</w:t>
      </w:r>
      <w:r w:rsidRPr="000E4929">
        <w:rPr>
          <w:rFonts w:ascii="Sylfaen" w:hAnsi="Sylfaen" w:cs="Sylfaen"/>
          <w:lang w:val="ka-GE"/>
        </w:rPr>
        <w:t>თან დაკავშირებული პოსტ</w:t>
      </w:r>
      <w:r w:rsidR="004D1FDB" w:rsidRPr="000E4929">
        <w:rPr>
          <w:rFonts w:ascii="Sylfaen" w:hAnsi="Sylfaen" w:cs="Sylfaen"/>
          <w:lang w:val="ka-GE"/>
        </w:rPr>
        <w:t>-</w:t>
      </w:r>
      <w:r w:rsidRPr="000E4929">
        <w:rPr>
          <w:rFonts w:ascii="Sylfaen" w:hAnsi="Sylfaen" w:cs="Sylfaen"/>
          <w:lang w:val="ka-GE"/>
        </w:rPr>
        <w:t>კრიზისული პერიოდ</w:t>
      </w:r>
      <w:r w:rsidR="00370834" w:rsidRPr="000E4929">
        <w:rPr>
          <w:rFonts w:ascii="Sylfaen" w:hAnsi="Sylfaen" w:cs="Sylfaen"/>
          <w:lang w:val="ka-GE"/>
        </w:rPr>
        <w:t>ი</w:t>
      </w:r>
      <w:r w:rsidRPr="000E4929">
        <w:rPr>
          <w:rFonts w:ascii="Sylfaen" w:hAnsi="Sylfaen" w:cs="Sylfaen"/>
          <w:lang w:val="ka-GE"/>
        </w:rPr>
        <w:t>ს</w:t>
      </w:r>
      <w:r w:rsidR="00370834" w:rsidRPr="000E4929">
        <w:rPr>
          <w:rFonts w:ascii="Sylfaen" w:hAnsi="Sylfaen" w:cs="Sylfaen"/>
          <w:lang w:val="ka-GE"/>
        </w:rPr>
        <w:t xml:space="preserve"> დაშვებებს</w:t>
      </w:r>
      <w:r w:rsidRPr="000E4929">
        <w:rPr>
          <w:rFonts w:ascii="Sylfaen" w:hAnsi="Sylfaen" w:cs="Sylfaen"/>
          <w:lang w:val="ka-GE"/>
        </w:rPr>
        <w:t xml:space="preserve"> და ითვალისწინებ</w:t>
      </w:r>
      <w:r w:rsidR="00E479A4" w:rsidRPr="000E4929">
        <w:rPr>
          <w:rFonts w:ascii="Sylfaen" w:hAnsi="Sylfaen" w:cs="Sylfaen"/>
          <w:lang w:val="ka-GE"/>
        </w:rPr>
        <w:t>და</w:t>
      </w:r>
      <w:r w:rsidRPr="000E4929">
        <w:rPr>
          <w:rFonts w:ascii="Sylfaen" w:hAnsi="Sylfaen" w:cs="Sylfaen"/>
          <w:lang w:val="ka-GE"/>
        </w:rPr>
        <w:t xml:space="preserve"> ფისკალური პოლიტიკის სტაბილიზების ღონისძიებებს,  რათა ერთის მხრივ შენარჩუნ</w:t>
      </w:r>
      <w:r w:rsidR="00E479A4" w:rsidRPr="000E4929">
        <w:rPr>
          <w:rFonts w:ascii="Sylfaen" w:hAnsi="Sylfaen" w:cs="Sylfaen"/>
          <w:lang w:val="ka-GE"/>
        </w:rPr>
        <w:t>ებულიყო</w:t>
      </w:r>
      <w:r w:rsidRPr="000E4929">
        <w:rPr>
          <w:rFonts w:ascii="Sylfaen" w:hAnsi="Sylfaen" w:cs="Sylfaen"/>
          <w:lang w:val="ka-GE"/>
        </w:rPr>
        <w:t xml:space="preserve"> მნიშვნელოვანი რეფორმები და ამავე დროს ფისკალური პარამეტრები დაბრუნ</w:t>
      </w:r>
      <w:r w:rsidR="00E479A4" w:rsidRPr="000E4929">
        <w:rPr>
          <w:rFonts w:ascii="Sylfaen" w:hAnsi="Sylfaen" w:cs="Sylfaen"/>
          <w:lang w:val="ka-GE"/>
        </w:rPr>
        <w:t>ებო</w:t>
      </w:r>
      <w:r w:rsidRPr="000E4929">
        <w:rPr>
          <w:rFonts w:ascii="Sylfaen" w:hAnsi="Sylfaen" w:cs="Sylfaen"/>
          <w:lang w:val="ka-GE"/>
        </w:rPr>
        <w:t>დ</w:t>
      </w:r>
      <w:r w:rsidR="00E479A4" w:rsidRPr="000E4929">
        <w:rPr>
          <w:rFonts w:ascii="Sylfaen" w:hAnsi="Sylfaen" w:cs="Sylfaen"/>
          <w:lang w:val="ka-GE"/>
        </w:rPr>
        <w:t>ა</w:t>
      </w:r>
      <w:r w:rsidRPr="000E4929">
        <w:rPr>
          <w:rFonts w:ascii="Sylfaen" w:hAnsi="Sylfaen" w:cs="Sylfaen"/>
          <w:lang w:val="ka-GE"/>
        </w:rPr>
        <w:t xml:space="preserve"> კანონმდებლობით დადგენილ ზღვრებს.</w:t>
      </w:r>
    </w:p>
    <w:p w:rsidR="0012041B" w:rsidRPr="00C9780C" w:rsidRDefault="00994C04" w:rsidP="0087013E">
      <w:pPr>
        <w:spacing w:after="0" w:line="276" w:lineRule="auto"/>
        <w:ind w:firstLine="567"/>
        <w:jc w:val="both"/>
        <w:rPr>
          <w:rFonts w:ascii="Sylfaen" w:hAnsi="Sylfaen" w:cs="Sylfaen"/>
          <w:lang w:val="ka-GE"/>
        </w:rPr>
      </w:pPr>
      <w:r w:rsidRPr="000E4929">
        <w:rPr>
          <w:rFonts w:ascii="Sylfaen" w:hAnsi="Sylfaen" w:cs="Sylfaen"/>
          <w:lang w:val="ka-GE"/>
        </w:rPr>
        <w:t>როგორც ზემო</w:t>
      </w:r>
      <w:r w:rsidR="003B08BE" w:rsidRPr="000E4929">
        <w:rPr>
          <w:rFonts w:ascii="Sylfaen" w:hAnsi="Sylfaen" w:cs="Sylfaen"/>
          <w:lang w:val="ka-GE"/>
        </w:rPr>
        <w:t xml:space="preserve">თ </w:t>
      </w:r>
      <w:r w:rsidRPr="000E4929">
        <w:rPr>
          <w:rFonts w:ascii="Sylfaen" w:hAnsi="Sylfaen" w:cs="Sylfaen"/>
          <w:lang w:val="ka-GE"/>
        </w:rPr>
        <w:t>აღ</w:t>
      </w:r>
      <w:r w:rsidR="003B08BE" w:rsidRPr="000E4929">
        <w:rPr>
          <w:rFonts w:ascii="Sylfaen" w:hAnsi="Sylfaen" w:cs="Sylfaen"/>
          <w:lang w:val="ka-GE"/>
        </w:rPr>
        <w:t>ინიშ</w:t>
      </w:r>
      <w:r w:rsidRPr="000E4929">
        <w:rPr>
          <w:rFonts w:ascii="Sylfaen" w:hAnsi="Sylfaen" w:cs="Sylfaen"/>
          <w:lang w:val="ka-GE"/>
        </w:rPr>
        <w:t>ნა</w:t>
      </w:r>
      <w:r w:rsidR="003B08BE" w:rsidRPr="000E4929">
        <w:rPr>
          <w:rFonts w:ascii="Sylfaen" w:hAnsi="Sylfaen" w:cs="Sylfaen"/>
          <w:lang w:val="ka-GE"/>
        </w:rPr>
        <w:t>,</w:t>
      </w:r>
      <w:r w:rsidRPr="000E4929">
        <w:rPr>
          <w:rFonts w:ascii="Sylfaen" w:hAnsi="Sylfaen" w:cs="Sylfaen"/>
          <w:lang w:val="ka-GE"/>
        </w:rPr>
        <w:t xml:space="preserve"> </w:t>
      </w:r>
      <w:r w:rsidR="003B08BE" w:rsidRPr="000E4929">
        <w:rPr>
          <w:rFonts w:ascii="Sylfaen" w:hAnsi="Sylfaen" w:cs="Sylfaen"/>
          <w:lang w:val="ka-GE"/>
        </w:rPr>
        <w:t xml:space="preserve">ახალი </w:t>
      </w:r>
      <w:r w:rsidR="00AD738A" w:rsidRPr="000E4929">
        <w:rPr>
          <w:rFonts w:ascii="Sylfaen" w:hAnsi="Sylfaen" w:cs="Sylfaen"/>
          <w:lang w:val="ka-GE"/>
        </w:rPr>
        <w:t>კორონავირუსით გამოწვეულმა ნეგატიურმა</w:t>
      </w:r>
      <w:r w:rsidR="00AD738A" w:rsidRPr="00C9780C">
        <w:rPr>
          <w:rFonts w:ascii="Sylfaen" w:hAnsi="Sylfaen" w:cs="Sylfaen"/>
          <w:lang w:val="ka-GE"/>
        </w:rPr>
        <w:t xml:space="preserve"> შოკმა გავლენა იქონია საქართველოს ეკონომიკაზე, რომელიც მნიშვნელოვნად არის დამოკიდებული საგარეო ფაქტორებზე.</w:t>
      </w:r>
      <w:r w:rsidR="0012041B" w:rsidRPr="00C9780C">
        <w:rPr>
          <w:rFonts w:ascii="Sylfaen" w:hAnsi="Sylfaen" w:cs="Sylfaen"/>
          <w:lang w:val="ka-GE"/>
        </w:rPr>
        <w:t xml:space="preserve"> </w:t>
      </w:r>
      <w:r w:rsidR="00E479A4" w:rsidRPr="00C9780C">
        <w:rPr>
          <w:rFonts w:ascii="Sylfaen" w:hAnsi="Sylfaen" w:cs="Sylfaen"/>
          <w:lang w:val="ka-GE"/>
        </w:rPr>
        <w:t xml:space="preserve">2020 წელს </w:t>
      </w:r>
      <w:r w:rsidR="00E479A4" w:rsidRPr="00C9780C">
        <w:rPr>
          <w:rFonts w:ascii="Sylfaen" w:hAnsi="Sylfaen" w:cs="Sylfaen"/>
        </w:rPr>
        <w:t xml:space="preserve">COVID-19 </w:t>
      </w:r>
      <w:r w:rsidR="00E479A4" w:rsidRPr="00C9780C">
        <w:rPr>
          <w:rFonts w:ascii="Sylfaen" w:hAnsi="Sylfaen" w:cs="Sylfaen"/>
          <w:lang w:val="ka-GE"/>
        </w:rPr>
        <w:t xml:space="preserve">პანდემიით გამოწვეული გლობალური კრიზისის ფონზე  </w:t>
      </w:r>
      <w:r w:rsidR="00AD738A" w:rsidRPr="00C9780C">
        <w:rPr>
          <w:rFonts w:ascii="Sylfaen" w:hAnsi="Sylfaen" w:cs="Sylfaen"/>
          <w:lang w:val="ka-GE"/>
        </w:rPr>
        <w:t>ეკონომიკის შემცირება</w:t>
      </w:r>
      <w:r w:rsidR="0087013E">
        <w:rPr>
          <w:rFonts w:ascii="Sylfaen" w:hAnsi="Sylfaen" w:cs="Sylfaen"/>
          <w:lang w:val="ka-GE"/>
        </w:rPr>
        <w:t xml:space="preserve"> </w:t>
      </w:r>
      <w:r w:rsidR="0087013E" w:rsidRPr="00C9780C">
        <w:rPr>
          <w:rFonts w:ascii="Sylfaen" w:hAnsi="Sylfaen" w:cs="Sylfaen"/>
          <w:lang w:val="ka-GE"/>
        </w:rPr>
        <w:t>(მშპ-ის 6.2%)</w:t>
      </w:r>
      <w:r w:rsidR="00AD738A" w:rsidRPr="00C9780C">
        <w:rPr>
          <w:rFonts w:ascii="Sylfaen" w:hAnsi="Sylfaen" w:cs="Sylfaen"/>
          <w:lang w:val="ka-GE"/>
        </w:rPr>
        <w:t xml:space="preserve">, ასევე პანდემიის მართვასთან დაკავშირებული </w:t>
      </w:r>
      <w:r w:rsidR="0012041B" w:rsidRPr="00C9780C">
        <w:rPr>
          <w:rFonts w:ascii="Sylfaen" w:hAnsi="Sylfaen" w:cs="Sylfaen"/>
          <w:lang w:val="ka-GE"/>
        </w:rPr>
        <w:t>ღონისძიებების დაფინანსების საჭიროება</w:t>
      </w:r>
      <w:r w:rsidR="00AD738A" w:rsidRPr="00C9780C">
        <w:rPr>
          <w:rFonts w:ascii="Sylfaen" w:hAnsi="Sylfaen" w:cs="Sylfaen"/>
          <w:lang w:val="ka-GE"/>
        </w:rPr>
        <w:t xml:space="preserve"> პირდაპირ აისახა</w:t>
      </w:r>
      <w:r w:rsidR="0087013E">
        <w:rPr>
          <w:rFonts w:ascii="Sylfaen" w:hAnsi="Sylfaen" w:cs="Sylfaen"/>
          <w:lang w:val="ka-GE"/>
        </w:rPr>
        <w:t>,</w:t>
      </w:r>
      <w:r w:rsidR="00AD738A" w:rsidRPr="00C9780C">
        <w:rPr>
          <w:rFonts w:ascii="Sylfaen" w:hAnsi="Sylfaen" w:cs="Sylfaen"/>
          <w:lang w:val="ka-GE"/>
        </w:rPr>
        <w:t xml:space="preserve"> როგორც ბიუჯეტის შემოსავლების, განსაკუთრებით კი საგადასახადო შემოსავლების, ასევე ხარჯების მოცულობაზე</w:t>
      </w:r>
      <w:r w:rsidR="0012041B" w:rsidRPr="00C9780C">
        <w:rPr>
          <w:rFonts w:ascii="Sylfaen" w:hAnsi="Sylfaen" w:cs="Sylfaen"/>
          <w:lang w:val="ka-GE"/>
        </w:rPr>
        <w:t xml:space="preserve"> და 2020-2024 წლების საშუალოვადიანი პროგნოზები საფუძვლიანად შეიცვალა</w:t>
      </w:r>
      <w:r w:rsidR="00AD738A" w:rsidRPr="00C9780C">
        <w:rPr>
          <w:rFonts w:ascii="Sylfaen" w:hAnsi="Sylfaen" w:cs="Sylfaen"/>
          <w:lang w:val="ka-GE"/>
        </w:rPr>
        <w:t xml:space="preserve">. </w:t>
      </w:r>
    </w:p>
    <w:p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404E8F" w:rsidRPr="00C9780C"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AD738A" w:rsidRPr="00C9780C" w:rsidRDefault="00AD738A" w:rsidP="00C9780C">
      <w:pPr>
        <w:spacing w:after="0" w:line="276" w:lineRule="auto"/>
        <w:ind w:firstLine="720"/>
        <w:jc w:val="both"/>
        <w:rPr>
          <w:rFonts w:ascii="Sylfaen" w:hAnsi="Sylfaen" w:cs="Sylfaen"/>
          <w:b/>
          <w:lang w:val="ka-GE"/>
        </w:rPr>
      </w:pPr>
      <w:r w:rsidRPr="00C9780C">
        <w:rPr>
          <w:rFonts w:ascii="Sylfaen" w:hAnsi="Sylfaen" w:cs="Sylfaen"/>
          <w:lang w:val="ka-GE"/>
        </w:rPr>
        <w:t>202</w:t>
      </w:r>
      <w:r w:rsidR="0009185A" w:rsidRPr="00C9780C">
        <w:rPr>
          <w:rFonts w:ascii="Sylfaen" w:hAnsi="Sylfaen" w:cs="Sylfaen"/>
          <w:lang w:val="ka-GE"/>
        </w:rPr>
        <w:t>2</w:t>
      </w:r>
      <w:r w:rsidRPr="00C9780C">
        <w:rPr>
          <w:rFonts w:ascii="Sylfaen" w:hAnsi="Sylfaen" w:cs="Sylfaen"/>
          <w:lang w:val="ka-GE"/>
        </w:rPr>
        <w:t>-202</w:t>
      </w:r>
      <w:r w:rsidR="0009185A" w:rsidRPr="00C9780C">
        <w:rPr>
          <w:rFonts w:ascii="Sylfaen" w:hAnsi="Sylfaen" w:cs="Sylfaen"/>
          <w:lang w:val="ka-GE"/>
        </w:rPr>
        <w:t>5</w:t>
      </w:r>
      <w:r w:rsidRPr="00C9780C">
        <w:rPr>
          <w:rFonts w:ascii="Sylfaen" w:hAnsi="Sylfaen" w:cs="Sylfaen"/>
          <w:lang w:val="ka-GE"/>
        </w:rPr>
        <w:t xml:space="preserve"> წლების წარმოდგენილ მონაცემებში ასახულია 20</w:t>
      </w:r>
      <w:r w:rsidR="0009185A" w:rsidRPr="00C9780C">
        <w:rPr>
          <w:rFonts w:ascii="Sylfaen" w:hAnsi="Sylfaen" w:cs="Sylfaen"/>
          <w:lang w:val="ka-GE"/>
        </w:rPr>
        <w:t>20</w:t>
      </w:r>
      <w:r w:rsidRPr="00C9780C">
        <w:rPr>
          <w:rFonts w:ascii="Sylfaen" w:hAnsi="Sylfaen" w:cs="Sylfaen"/>
          <w:lang w:val="ka-GE"/>
        </w:rPr>
        <w:t xml:space="preserve"> წლის ფაქტიური მაჩვენებლებიდან და მიმდინარე მოვლენებიდან გამომდინარე გადამუშ</w:t>
      </w:r>
      <w:r w:rsidR="00044987" w:rsidRPr="00C9780C">
        <w:rPr>
          <w:rFonts w:ascii="Sylfaen" w:hAnsi="Sylfaen" w:cs="Sylfaen"/>
          <w:lang w:val="ka-GE"/>
        </w:rPr>
        <w:t>ა</w:t>
      </w:r>
      <w:r w:rsidRPr="00C9780C">
        <w:rPr>
          <w:rFonts w:ascii="Sylfaen" w:hAnsi="Sylfaen" w:cs="Sylfaen"/>
          <w:lang w:val="ka-GE"/>
        </w:rPr>
        <w:t>ვებული 202</w:t>
      </w:r>
      <w:r w:rsidR="0009185A" w:rsidRPr="00C9780C">
        <w:rPr>
          <w:rFonts w:ascii="Sylfaen" w:hAnsi="Sylfaen" w:cs="Sylfaen"/>
          <w:lang w:val="ka-GE"/>
        </w:rPr>
        <w:t>1</w:t>
      </w:r>
      <w:r w:rsidRPr="00C9780C">
        <w:rPr>
          <w:rFonts w:ascii="Sylfaen" w:hAnsi="Sylfaen" w:cs="Sylfaen"/>
          <w:lang w:val="ka-GE"/>
        </w:rPr>
        <w:t>-202</w:t>
      </w:r>
      <w:r w:rsidR="0009185A" w:rsidRPr="00C9780C">
        <w:rPr>
          <w:rFonts w:ascii="Sylfaen" w:hAnsi="Sylfaen" w:cs="Sylfaen"/>
          <w:lang w:val="ka-GE"/>
        </w:rPr>
        <w:t>4</w:t>
      </w:r>
      <w:r w:rsidRPr="00C9780C">
        <w:rPr>
          <w:rFonts w:ascii="Sylfaen" w:hAnsi="Sylfaen" w:cs="Sylfaen"/>
          <w:lang w:val="ka-GE"/>
        </w:rPr>
        <w:t xml:space="preserve"> წლების მაკროეკონომიკური და ფისკალური ცვლადების საპროგნოზო მაჩვენებლები. აღნიშნული მაჩვენებლების პროგნოზი შემუშავებულია</w:t>
      </w:r>
      <w:r w:rsidR="00C665F9" w:rsidRPr="00C9780C">
        <w:rPr>
          <w:rFonts w:ascii="Sylfaen" w:hAnsi="Sylfaen" w:cs="Sylfaen"/>
          <w:lang w:val="ka-GE"/>
        </w:rPr>
        <w:t xml:space="preserve"> კვლავ</w:t>
      </w:r>
      <w:r w:rsidRPr="00C9780C">
        <w:rPr>
          <w:rFonts w:ascii="Sylfaen" w:hAnsi="Sylfaen" w:cs="Sylfaen"/>
          <w:lang w:val="ka-GE"/>
        </w:rPr>
        <w:t xml:space="preserve"> მიმდინარე პანდემიის ფონზე</w:t>
      </w:r>
      <w:r w:rsidR="0009185A" w:rsidRPr="00C9780C">
        <w:rPr>
          <w:rFonts w:ascii="Sylfaen" w:hAnsi="Sylfaen" w:cs="Sylfaen"/>
          <w:lang w:val="ka-GE"/>
        </w:rPr>
        <w:t xml:space="preserve">.  </w:t>
      </w:r>
    </w:p>
    <w:p w:rsidR="00976C5B" w:rsidRPr="000E4929" w:rsidRDefault="00BE1861" w:rsidP="00C9780C">
      <w:pPr>
        <w:spacing w:after="0" w:line="276" w:lineRule="auto"/>
        <w:ind w:firstLine="567"/>
        <w:jc w:val="both"/>
        <w:rPr>
          <w:rFonts w:ascii="Sylfaen" w:hAnsi="Sylfaen" w:cs="Sylfaen"/>
          <w:lang w:val="ka-GE"/>
        </w:rPr>
      </w:pPr>
      <w:r>
        <w:rPr>
          <w:rFonts w:ascii="Sylfaen" w:hAnsi="Sylfaen" w:cs="Sylfaen"/>
          <w:lang w:val="ka-GE"/>
        </w:rPr>
        <w:t xml:space="preserve">2020 წლის დეკემბერში მომზადებული </w:t>
      </w:r>
      <w:r w:rsidR="005B365D" w:rsidRPr="00C9780C">
        <w:rPr>
          <w:rFonts w:ascii="Sylfaen" w:hAnsi="Sylfaen" w:cs="Sylfaen"/>
          <w:lang w:val="ka-GE"/>
        </w:rPr>
        <w:t>2021-2024 წლების საშუალოვადიანი პროგნოზების</w:t>
      </w:r>
      <w:r>
        <w:rPr>
          <w:rFonts w:ascii="Sylfaen" w:hAnsi="Sylfaen" w:cs="Sylfaen"/>
          <w:lang w:val="ka-GE"/>
        </w:rPr>
        <w:t xml:space="preserve"> განახლება მოხდა </w:t>
      </w:r>
      <w:r>
        <w:rPr>
          <w:rFonts w:ascii="Sylfaen" w:hAnsi="Sylfaen" w:cs="Sylfaen"/>
        </w:rPr>
        <w:t xml:space="preserve">2021 </w:t>
      </w:r>
      <w:r>
        <w:rPr>
          <w:rFonts w:ascii="Sylfaen" w:hAnsi="Sylfaen" w:cs="Sylfaen"/>
          <w:lang w:val="ka-GE"/>
        </w:rPr>
        <w:t xml:space="preserve">წლის ივლისში და 2022-2025 წლების პროგნოზების </w:t>
      </w:r>
      <w:r w:rsidR="00902BC5" w:rsidRPr="00C9780C">
        <w:rPr>
          <w:rFonts w:ascii="Sylfaen" w:hAnsi="Sylfaen" w:cs="Sylfaen"/>
          <w:lang w:val="ka-GE"/>
        </w:rPr>
        <w:t xml:space="preserve">განახლებაში ასახულია 2020 წელს შემოსავლების </w:t>
      </w:r>
      <w:r w:rsidR="0009185A" w:rsidRPr="00C9780C">
        <w:rPr>
          <w:rFonts w:ascii="Sylfaen" w:hAnsi="Sylfaen" w:cs="Sylfaen"/>
          <w:lang w:val="ka-GE"/>
        </w:rPr>
        <w:t>ფაქტიური</w:t>
      </w:r>
      <w:r w:rsidR="00902BC5" w:rsidRPr="00C9780C">
        <w:rPr>
          <w:rFonts w:ascii="Sylfaen" w:hAnsi="Sylfaen" w:cs="Sylfaen"/>
          <w:lang w:val="ka-GE"/>
        </w:rPr>
        <w:t xml:space="preserve"> დანაკლისი</w:t>
      </w:r>
      <w:r w:rsidR="00C665F9" w:rsidRPr="00C9780C">
        <w:rPr>
          <w:rFonts w:ascii="Sylfaen" w:hAnsi="Sylfaen" w:cs="Sylfaen"/>
          <w:lang w:val="ka-GE"/>
        </w:rPr>
        <w:t>ს ეფექტი,</w:t>
      </w:r>
      <w:r w:rsidR="00902BC5" w:rsidRPr="00C9780C">
        <w:rPr>
          <w:rFonts w:ascii="Sylfaen" w:hAnsi="Sylfaen" w:cs="Sylfaen"/>
          <w:lang w:val="ka-GE"/>
        </w:rPr>
        <w:t xml:space="preserve"> 2021 წლის პროგნოზ</w:t>
      </w:r>
      <w:r w:rsidR="0009185A" w:rsidRPr="00C9780C">
        <w:rPr>
          <w:rFonts w:ascii="Sylfaen" w:hAnsi="Sylfaen" w:cs="Sylfaen"/>
          <w:lang w:val="ka-GE"/>
        </w:rPr>
        <w:t>ები კი ითვალისწინებს 2021 წლის პირველ ნახევარში დაფიქსირებულ</w:t>
      </w:r>
      <w:r>
        <w:rPr>
          <w:rFonts w:ascii="Sylfaen" w:hAnsi="Sylfaen" w:cs="Sylfaen"/>
          <w:lang w:val="ka-GE"/>
        </w:rPr>
        <w:t>ი</w:t>
      </w:r>
      <w:r w:rsidR="0009185A" w:rsidRPr="00C9780C">
        <w:rPr>
          <w:rFonts w:ascii="Sylfaen" w:hAnsi="Sylfaen" w:cs="Sylfaen"/>
          <w:lang w:val="ka-GE"/>
        </w:rPr>
        <w:t xml:space="preserve"> ეკონომიკური ზრდის დადებით ტენდენციებს და </w:t>
      </w:r>
      <w:r w:rsidR="00304B4F" w:rsidRPr="00C9780C">
        <w:rPr>
          <w:rFonts w:ascii="Sylfaen" w:hAnsi="Sylfaen" w:cs="Sylfaen"/>
          <w:lang w:val="ka-GE"/>
        </w:rPr>
        <w:t xml:space="preserve">2020 წლის ბოლოს პროგნოზირებულ მაჩვენებლებთან შედარებით </w:t>
      </w:r>
      <w:r w:rsidR="0009185A" w:rsidRPr="00C9780C">
        <w:rPr>
          <w:rFonts w:ascii="Sylfaen" w:hAnsi="Sylfaen" w:cs="Sylfaen"/>
          <w:lang w:val="ka-GE"/>
        </w:rPr>
        <w:t>მნიშვნელოვნ</w:t>
      </w:r>
      <w:r w:rsidR="00304B4F" w:rsidRPr="00C9780C">
        <w:rPr>
          <w:rFonts w:ascii="Sylfaen" w:hAnsi="Sylfaen" w:cs="Sylfaen"/>
          <w:lang w:val="ka-GE"/>
        </w:rPr>
        <w:t>ად</w:t>
      </w:r>
      <w:r w:rsidR="0009185A" w:rsidRPr="00C9780C">
        <w:rPr>
          <w:rFonts w:ascii="Sylfaen" w:hAnsi="Sylfaen" w:cs="Sylfaen"/>
          <w:lang w:val="ka-GE"/>
        </w:rPr>
        <w:t xml:space="preserve"> </w:t>
      </w:r>
      <w:r w:rsidR="00304B4F" w:rsidRPr="00C9780C">
        <w:rPr>
          <w:rFonts w:ascii="Sylfaen" w:hAnsi="Sylfaen" w:cs="Sylfaen"/>
          <w:lang w:val="ka-GE"/>
        </w:rPr>
        <w:t>გაზრდილ</w:t>
      </w:r>
      <w:r w:rsidR="0009185A" w:rsidRPr="00C9780C">
        <w:rPr>
          <w:rFonts w:ascii="Sylfaen" w:hAnsi="Sylfaen" w:cs="Sylfaen"/>
          <w:lang w:val="ka-GE"/>
        </w:rPr>
        <w:t xml:space="preserve"> </w:t>
      </w:r>
      <w:r w:rsidR="00304B4F" w:rsidRPr="00C9780C">
        <w:rPr>
          <w:rFonts w:ascii="Sylfaen" w:hAnsi="Sylfaen" w:cs="Sylfaen"/>
          <w:lang w:val="ka-GE"/>
        </w:rPr>
        <w:t>შემოსავლებს. პ</w:t>
      </w:r>
      <w:r w:rsidR="0009185A" w:rsidRPr="00C9780C">
        <w:rPr>
          <w:rFonts w:ascii="Sylfaen" w:hAnsi="Sylfaen" w:cs="Sylfaen"/>
          <w:lang w:val="ka-GE"/>
        </w:rPr>
        <w:t>არალელურად</w:t>
      </w:r>
      <w:r w:rsidR="00304B4F" w:rsidRPr="00C9780C">
        <w:rPr>
          <w:rFonts w:ascii="Sylfaen" w:hAnsi="Sylfaen" w:cs="Sylfaen"/>
          <w:lang w:val="ka-GE"/>
        </w:rPr>
        <w:t xml:space="preserve"> 2021 წლის გადასახდელების ნაწილის ზრდის მიუხედავად</w:t>
      </w:r>
      <w:r w:rsidR="00C24549">
        <w:rPr>
          <w:rFonts w:ascii="Sylfaen" w:hAnsi="Sylfaen" w:cs="Sylfaen"/>
          <w:lang w:val="ka-GE"/>
        </w:rPr>
        <w:t>,</w:t>
      </w:r>
      <w:r w:rsidR="0009185A" w:rsidRPr="00C9780C">
        <w:rPr>
          <w:rFonts w:ascii="Sylfaen" w:hAnsi="Sylfaen" w:cs="Sylfaen"/>
          <w:lang w:val="ka-GE"/>
        </w:rPr>
        <w:t xml:space="preserve"> </w:t>
      </w:r>
      <w:r>
        <w:rPr>
          <w:rFonts w:ascii="Sylfaen" w:hAnsi="Sylfaen" w:cs="Sylfaen"/>
          <w:lang w:val="ka-GE"/>
        </w:rPr>
        <w:t xml:space="preserve">სახელმწიფოს ერთიანი ბიუჯეტის </w:t>
      </w:r>
      <w:r w:rsidR="0009185A" w:rsidRPr="00C9780C">
        <w:rPr>
          <w:rFonts w:ascii="Sylfaen" w:hAnsi="Sylfaen" w:cs="Sylfaen"/>
          <w:lang w:val="ka-GE"/>
        </w:rPr>
        <w:t>დეფიციტ</w:t>
      </w:r>
      <w:r w:rsidR="00304B4F" w:rsidRPr="00C9780C">
        <w:rPr>
          <w:rFonts w:ascii="Sylfaen" w:hAnsi="Sylfaen" w:cs="Sylfaen"/>
          <w:lang w:val="ka-GE"/>
        </w:rPr>
        <w:t>ი</w:t>
      </w:r>
      <w:r w:rsidR="0009185A" w:rsidRPr="00C9780C">
        <w:rPr>
          <w:rFonts w:ascii="Sylfaen" w:hAnsi="Sylfaen" w:cs="Sylfaen"/>
          <w:lang w:val="ka-GE"/>
        </w:rPr>
        <w:t xml:space="preserve"> მცირდება როგორც ნომინალურ გამოხატულებაში</w:t>
      </w:r>
      <w:r w:rsidR="00C24549">
        <w:rPr>
          <w:rFonts w:ascii="Sylfaen" w:hAnsi="Sylfaen" w:cs="Sylfaen"/>
          <w:lang w:val="ka-GE"/>
        </w:rPr>
        <w:t>,</w:t>
      </w:r>
      <w:r w:rsidR="0009185A" w:rsidRPr="00C9780C">
        <w:rPr>
          <w:rFonts w:ascii="Sylfaen" w:hAnsi="Sylfaen" w:cs="Sylfaen"/>
          <w:lang w:val="ka-GE"/>
        </w:rPr>
        <w:t xml:space="preserve"> ისე მშპ-თან </w:t>
      </w:r>
      <w:r w:rsidR="0009185A" w:rsidRPr="000E4929">
        <w:rPr>
          <w:rFonts w:ascii="Sylfaen" w:hAnsi="Sylfaen" w:cs="Sylfaen"/>
          <w:lang w:val="ka-GE"/>
        </w:rPr>
        <w:t>მიმართებაში (</w:t>
      </w:r>
      <w:r w:rsidR="00BC7AD9">
        <w:rPr>
          <w:rFonts w:ascii="Sylfaen" w:hAnsi="Sylfaen" w:cs="Sylfaen"/>
          <w:lang w:val="ka-GE"/>
        </w:rPr>
        <w:t xml:space="preserve">2020 წლის დეკემბრის პროგნოზთან შედარებით </w:t>
      </w:r>
      <w:r w:rsidR="0009185A" w:rsidRPr="000E4929">
        <w:rPr>
          <w:rFonts w:ascii="Sylfaen" w:hAnsi="Sylfaen" w:cs="Sylfaen"/>
          <w:lang w:val="ka-GE"/>
        </w:rPr>
        <w:t xml:space="preserve">7.7%-დან </w:t>
      </w:r>
      <w:r w:rsidR="00BC7AD9">
        <w:rPr>
          <w:rFonts w:ascii="Sylfaen" w:hAnsi="Sylfaen" w:cs="Sylfaen"/>
          <w:lang w:val="ka-GE"/>
        </w:rPr>
        <w:t>განახლებულ პროგნოზში ჩამოდის 6.8</w:t>
      </w:r>
      <w:r w:rsidR="0009185A" w:rsidRPr="000E4929">
        <w:rPr>
          <w:rFonts w:ascii="Sylfaen" w:hAnsi="Sylfaen" w:cs="Sylfaen"/>
          <w:lang w:val="ka-GE"/>
        </w:rPr>
        <w:t>%-მდე)</w:t>
      </w:r>
      <w:r w:rsidR="00A60FDC" w:rsidRPr="000E4929">
        <w:rPr>
          <w:rFonts w:ascii="Sylfaen" w:hAnsi="Sylfaen" w:cs="Sylfaen"/>
          <w:lang w:val="ka-GE"/>
        </w:rPr>
        <w:t>.</w:t>
      </w:r>
    </w:p>
    <w:p w:rsidR="00304B4F" w:rsidRPr="00C9780C" w:rsidRDefault="00304B4F" w:rsidP="00AD738A">
      <w:pPr>
        <w:spacing w:line="276" w:lineRule="auto"/>
        <w:ind w:firstLine="567"/>
        <w:jc w:val="both"/>
        <w:rPr>
          <w:rFonts w:ascii="Sylfaen" w:hAnsi="Sylfaen" w:cs="Sylfaen"/>
          <w:lang w:val="ka-GE"/>
        </w:rPr>
      </w:pPr>
      <w:r w:rsidRPr="000E4929">
        <w:rPr>
          <w:rFonts w:ascii="Sylfaen" w:hAnsi="Sylfaen" w:cs="Sylfaen"/>
          <w:lang w:val="ka-GE"/>
        </w:rPr>
        <w:t>განახლებული პროგნოზებით ნაერთ</w:t>
      </w:r>
      <w:r w:rsidR="00C24549" w:rsidRPr="000E4929">
        <w:rPr>
          <w:rFonts w:ascii="Sylfaen" w:hAnsi="Sylfaen" w:cs="Sylfaen"/>
          <w:lang w:val="ka-GE"/>
        </w:rPr>
        <w:t>ი</w:t>
      </w:r>
      <w:r w:rsidRPr="000E4929">
        <w:rPr>
          <w:rFonts w:ascii="Sylfaen" w:hAnsi="Sylfaen" w:cs="Sylfaen"/>
          <w:lang w:val="ka-GE"/>
        </w:rPr>
        <w:t xml:space="preserve"> ბიუჯეტის არადეფიციტური შემოსავლები</w:t>
      </w:r>
      <w:r w:rsidR="00E40CFA">
        <w:rPr>
          <w:rFonts w:ascii="Sylfaen" w:hAnsi="Sylfaen" w:cs="Sylfaen"/>
          <w:lang w:val="ka-GE"/>
        </w:rPr>
        <w:t xml:space="preserve"> გაზრდილია</w:t>
      </w:r>
      <w:r w:rsidR="009C4B89" w:rsidRPr="000E4929">
        <w:rPr>
          <w:rFonts w:ascii="Sylfaen" w:hAnsi="Sylfaen" w:cs="Sylfaen"/>
          <w:lang w:val="ka-GE"/>
        </w:rPr>
        <w:t xml:space="preserve"> </w:t>
      </w:r>
      <w:r w:rsidRPr="000E4929">
        <w:rPr>
          <w:rFonts w:ascii="Sylfaen" w:hAnsi="Sylfaen" w:cs="Sylfaen"/>
          <w:lang w:val="ka-GE"/>
        </w:rPr>
        <w:t>ნომინალურ გამოხატულებაში</w:t>
      </w:r>
      <w:r w:rsidR="00E655E3">
        <w:rPr>
          <w:rFonts w:ascii="Sylfaen" w:hAnsi="Sylfaen" w:cs="Sylfaen"/>
          <w:lang w:val="ka-GE"/>
        </w:rPr>
        <w:t xml:space="preserve">, ხოლო </w:t>
      </w:r>
      <w:r w:rsidR="00E40CFA">
        <w:rPr>
          <w:rFonts w:ascii="Sylfaen" w:hAnsi="Sylfaen" w:cs="Sylfaen"/>
          <w:lang w:val="ka-GE"/>
        </w:rPr>
        <w:t>2022 წლი</w:t>
      </w:r>
      <w:r w:rsidR="00E655E3">
        <w:rPr>
          <w:rFonts w:ascii="Sylfaen" w:hAnsi="Sylfaen" w:cs="Sylfaen"/>
          <w:lang w:val="ka-GE"/>
        </w:rPr>
        <w:t>დან</w:t>
      </w:r>
      <w:r w:rsidR="00E40CFA">
        <w:rPr>
          <w:rFonts w:ascii="Sylfaen" w:hAnsi="Sylfaen" w:cs="Sylfaen"/>
          <w:lang w:val="ka-GE"/>
        </w:rPr>
        <w:t xml:space="preserve"> ნაერთი ბიუჯეტის არადეფიციტური შემოს</w:t>
      </w:r>
      <w:r w:rsidR="00E655E3">
        <w:rPr>
          <w:rFonts w:ascii="Sylfaen" w:hAnsi="Sylfaen" w:cs="Sylfaen"/>
          <w:lang w:val="ka-GE"/>
        </w:rPr>
        <w:t xml:space="preserve">ავლები მშპ-თან მიმართებაში პრაქტიკულად უბრუნდება პანდემიამდელ პროგნოზს. </w:t>
      </w:r>
    </w:p>
    <w:p w:rsidR="00304B4F" w:rsidRDefault="00304B4F" w:rsidP="00AD738A">
      <w:pPr>
        <w:spacing w:line="276" w:lineRule="auto"/>
        <w:ind w:firstLine="567"/>
        <w:jc w:val="both"/>
        <w:rPr>
          <w:rFonts w:ascii="Sylfaen" w:hAnsi="Sylfaen" w:cs="Sylfaen"/>
          <w:lang w:val="ka-GE"/>
        </w:rPr>
      </w:pPr>
      <w:r w:rsidRPr="00C9780C">
        <w:rPr>
          <w:rFonts w:ascii="Sylfaen" w:hAnsi="Sylfaen" w:cs="Sylfaen"/>
          <w:lang w:val="ka-GE"/>
        </w:rPr>
        <w:t>ასევე</w:t>
      </w:r>
      <w:r w:rsidR="00C24549">
        <w:rPr>
          <w:rFonts w:ascii="Sylfaen" w:hAnsi="Sylfaen" w:cs="Sylfaen"/>
          <w:lang w:val="ka-GE"/>
        </w:rPr>
        <w:t>,</w:t>
      </w:r>
      <w:r w:rsidRPr="00C9780C">
        <w:rPr>
          <w:rFonts w:ascii="Sylfaen" w:hAnsi="Sylfaen" w:cs="Sylfaen"/>
          <w:lang w:val="ka-GE"/>
        </w:rPr>
        <w:t xml:space="preserve"> საქართველოს მთავრობის მიერ დაწყებული აქტიური პრივატიზაციის შედეგად, წარმოდგენილ </w:t>
      </w:r>
      <w:r w:rsidR="00E655E3">
        <w:rPr>
          <w:rFonts w:ascii="Sylfaen" w:hAnsi="Sylfaen" w:cs="Sylfaen"/>
          <w:lang w:val="ka-GE"/>
        </w:rPr>
        <w:t xml:space="preserve">განახლებულ </w:t>
      </w:r>
      <w:r w:rsidRPr="00C9780C">
        <w:rPr>
          <w:rFonts w:ascii="Sylfaen" w:hAnsi="Sylfaen" w:cs="Sylfaen"/>
          <w:lang w:val="ka-GE"/>
        </w:rPr>
        <w:t xml:space="preserve">პროგნოზებში </w:t>
      </w:r>
      <w:r w:rsidR="00E655E3">
        <w:rPr>
          <w:rFonts w:ascii="Sylfaen" w:hAnsi="Sylfaen" w:cs="Sylfaen"/>
          <w:lang w:val="ka-GE"/>
        </w:rPr>
        <w:t xml:space="preserve">2022 წლისათვის </w:t>
      </w:r>
      <w:r w:rsidRPr="00C9780C">
        <w:rPr>
          <w:rFonts w:ascii="Sylfaen" w:hAnsi="Sylfaen" w:cs="Sylfaen"/>
          <w:lang w:val="ka-GE"/>
        </w:rPr>
        <w:t xml:space="preserve">გაზრდილია არაფინანსური აქტივების კლებით მისაღები </w:t>
      </w:r>
      <w:r w:rsidR="00C24549">
        <w:rPr>
          <w:rFonts w:ascii="Sylfaen" w:hAnsi="Sylfaen" w:cs="Sylfaen"/>
          <w:lang w:val="ka-GE"/>
        </w:rPr>
        <w:t>შემოსულო</w:t>
      </w:r>
      <w:r w:rsidRPr="00C9780C">
        <w:rPr>
          <w:rFonts w:ascii="Sylfaen" w:hAnsi="Sylfaen" w:cs="Sylfaen"/>
          <w:lang w:val="ka-GE"/>
        </w:rPr>
        <w:t>ბების მაჩვენებლები.</w:t>
      </w:r>
    </w:p>
    <w:p w:rsidR="00B120F5" w:rsidRPr="00C9780C" w:rsidRDefault="00B120F5" w:rsidP="00AD738A">
      <w:pPr>
        <w:spacing w:line="276" w:lineRule="auto"/>
        <w:ind w:firstLine="567"/>
        <w:jc w:val="both"/>
        <w:rPr>
          <w:rFonts w:ascii="Sylfaen" w:hAnsi="Sylfaen" w:cs="Sylfaen"/>
          <w:lang w:val="ka-GE"/>
        </w:rPr>
      </w:pP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№5</w:t>
      </w:r>
      <w:r w:rsidR="005E18E6" w:rsidRPr="00C9780C">
        <w:rPr>
          <w:rFonts w:ascii="Sylfaen" w:hAnsi="Sylfaen" w:cs="Sylfaen"/>
          <w:b/>
          <w:bCs/>
          <w:noProof/>
          <w:sz w:val="20"/>
          <w:szCs w:val="22"/>
          <w:lang w:val="ka-GE"/>
        </w:rPr>
        <w:t xml:space="preserve"> -</w:t>
      </w:r>
      <w:r w:rsidR="00A229BF">
        <w:rPr>
          <w:rFonts w:ascii="Sylfaen" w:hAnsi="Sylfaen" w:cs="Sylfaen"/>
          <w:b/>
          <w:bCs/>
          <w:noProof/>
          <w:sz w:val="20"/>
          <w:szCs w:val="22"/>
          <w:lang w:val="ka-GE"/>
        </w:rPr>
        <w:t xml:space="preserve"> შემოსულობების პროგნოზები</w:t>
      </w:r>
    </w:p>
    <w:p w:rsidR="00542BAD" w:rsidRPr="00A229BF"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424"/>
        <w:gridCol w:w="966"/>
        <w:gridCol w:w="1100"/>
        <w:gridCol w:w="1100"/>
        <w:gridCol w:w="1100"/>
        <w:gridCol w:w="1100"/>
        <w:gridCol w:w="1100"/>
      </w:tblGrid>
      <w:tr w:rsidR="00801DE9" w:rsidRPr="00801DE9" w:rsidTr="00542BAD">
        <w:trPr>
          <w:trHeight w:val="113"/>
          <w:tblHeader/>
        </w:trPr>
        <w:tc>
          <w:tcPr>
            <w:tcW w:w="1780" w:type="pct"/>
            <w:vMerge w:val="restar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b/>
                <w:bCs/>
                <w:sz w:val="18"/>
                <w:szCs w:val="18"/>
              </w:rPr>
            </w:pPr>
            <w:r w:rsidRPr="00801DE9">
              <w:rPr>
                <w:rFonts w:ascii="Sylfaen" w:eastAsia="Times New Roman" w:hAnsi="Sylfaen" w:cs="Sylfaen"/>
                <w:b/>
                <w:bCs/>
                <w:sz w:val="18"/>
                <w:szCs w:val="18"/>
              </w:rPr>
              <w:t>დასახელება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b/>
                <w:bCs/>
                <w:sz w:val="18"/>
                <w:szCs w:val="18"/>
              </w:rPr>
            </w:pPr>
            <w:r w:rsidRPr="00801DE9">
              <w:rPr>
                <w:rFonts w:ascii="Arial" w:eastAsia="Times New Roman" w:hAnsi="Arial" w:cs="Arial"/>
                <w:b/>
                <w:bCs/>
                <w:sz w:val="18"/>
                <w:szCs w:val="18"/>
              </w:rPr>
              <w:t>2020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b/>
                <w:bCs/>
                <w:sz w:val="18"/>
                <w:szCs w:val="18"/>
              </w:rPr>
            </w:pPr>
            <w:r w:rsidRPr="00801DE9">
              <w:rPr>
                <w:rFonts w:ascii="Arial" w:eastAsia="Times New Roman" w:hAnsi="Arial" w:cs="Arial"/>
                <w:b/>
                <w:bCs/>
                <w:sz w:val="18"/>
                <w:szCs w:val="18"/>
              </w:rPr>
              <w:t>2021</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b/>
                <w:bCs/>
                <w:sz w:val="18"/>
                <w:szCs w:val="18"/>
              </w:rPr>
            </w:pPr>
            <w:r w:rsidRPr="00801DE9">
              <w:rPr>
                <w:rFonts w:ascii="Arial" w:eastAsia="Times New Roman" w:hAnsi="Arial" w:cs="Arial"/>
                <w:b/>
                <w:bCs/>
                <w:sz w:val="18"/>
                <w:szCs w:val="18"/>
              </w:rPr>
              <w:t>2022</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b/>
                <w:bCs/>
                <w:sz w:val="18"/>
                <w:szCs w:val="18"/>
              </w:rPr>
            </w:pPr>
            <w:r w:rsidRPr="00801DE9">
              <w:rPr>
                <w:rFonts w:ascii="Arial" w:eastAsia="Times New Roman" w:hAnsi="Arial" w:cs="Arial"/>
                <w:b/>
                <w:bCs/>
                <w:sz w:val="18"/>
                <w:szCs w:val="18"/>
              </w:rPr>
              <w:t>2023</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b/>
                <w:bCs/>
                <w:sz w:val="18"/>
                <w:szCs w:val="18"/>
              </w:rPr>
            </w:pPr>
            <w:r w:rsidRPr="00801DE9">
              <w:rPr>
                <w:rFonts w:ascii="Arial" w:eastAsia="Times New Roman" w:hAnsi="Arial" w:cs="Arial"/>
                <w:b/>
                <w:bCs/>
                <w:sz w:val="18"/>
                <w:szCs w:val="18"/>
              </w:rPr>
              <w:t>2024</w:t>
            </w:r>
          </w:p>
        </w:tc>
        <w:tc>
          <w:tcPr>
            <w:tcW w:w="537" w:type="pct"/>
            <w:shd w:val="clear" w:color="000000" w:fill="FDE9D9"/>
            <w:noWrap/>
            <w:vAlign w:val="center"/>
            <w:hideMark/>
          </w:tcPr>
          <w:p w:rsidR="00801DE9" w:rsidRPr="00801DE9" w:rsidRDefault="00801DE9" w:rsidP="00801DE9">
            <w:pPr>
              <w:spacing w:after="0" w:line="240" w:lineRule="auto"/>
              <w:jc w:val="center"/>
              <w:rPr>
                <w:rFonts w:ascii="Arial" w:eastAsia="Times New Roman" w:hAnsi="Arial" w:cs="Arial"/>
                <w:b/>
                <w:bCs/>
                <w:sz w:val="18"/>
                <w:szCs w:val="18"/>
              </w:rPr>
            </w:pPr>
            <w:r w:rsidRPr="00801DE9">
              <w:rPr>
                <w:rFonts w:ascii="Arial" w:eastAsia="Times New Roman" w:hAnsi="Arial" w:cs="Arial"/>
                <w:b/>
                <w:bCs/>
                <w:sz w:val="18"/>
                <w:szCs w:val="18"/>
              </w:rPr>
              <w:t>2025</w:t>
            </w:r>
          </w:p>
        </w:tc>
      </w:tr>
      <w:tr w:rsidR="00801DE9" w:rsidRPr="00801DE9" w:rsidTr="00542BAD">
        <w:trPr>
          <w:trHeight w:val="113"/>
          <w:tblHeader/>
        </w:trPr>
        <w:tc>
          <w:tcPr>
            <w:tcW w:w="1780" w:type="pct"/>
            <w:vMerge/>
            <w:vAlign w:val="center"/>
            <w:hideMark/>
          </w:tcPr>
          <w:p w:rsidR="00801DE9" w:rsidRPr="00801DE9" w:rsidRDefault="00801DE9" w:rsidP="00801DE9">
            <w:pPr>
              <w:spacing w:after="0" w:line="240" w:lineRule="auto"/>
              <w:rPr>
                <w:rFonts w:ascii="Arial" w:eastAsia="Times New Roman" w:hAnsi="Arial" w:cs="Arial"/>
                <w:b/>
                <w:bCs/>
                <w:sz w:val="18"/>
                <w:szCs w:val="18"/>
              </w:rPr>
            </w:pPr>
          </w:p>
        </w:tc>
        <w:tc>
          <w:tcPr>
            <w:tcW w:w="537" w:type="pct"/>
            <w:shd w:val="clear" w:color="auto" w:fill="auto"/>
            <w:noWrap/>
            <w:vAlign w:val="center"/>
            <w:hideMark/>
          </w:tcPr>
          <w:p w:rsidR="00801DE9" w:rsidRPr="00801DE9" w:rsidRDefault="00801DE9" w:rsidP="00801DE9">
            <w:pPr>
              <w:spacing w:after="0" w:line="240" w:lineRule="auto"/>
              <w:jc w:val="center"/>
              <w:rPr>
                <w:rFonts w:ascii="Sylfaen" w:eastAsia="Times New Roman" w:hAnsi="Sylfaen" w:cs="Arial"/>
                <w:b/>
                <w:bCs/>
                <w:sz w:val="18"/>
                <w:szCs w:val="18"/>
              </w:rPr>
            </w:pPr>
            <w:r w:rsidRPr="00801DE9">
              <w:rPr>
                <w:rFonts w:ascii="Sylfaen" w:eastAsia="Times New Roman" w:hAnsi="Sylfaen" w:cs="Arial"/>
                <w:b/>
                <w:bCs/>
                <w:sz w:val="18"/>
                <w:szCs w:val="18"/>
              </w:rPr>
              <w:t>ფაქტი</w:t>
            </w:r>
          </w:p>
        </w:tc>
        <w:tc>
          <w:tcPr>
            <w:tcW w:w="537" w:type="pct"/>
            <w:shd w:val="clear" w:color="auto" w:fill="auto"/>
            <w:noWrap/>
            <w:vAlign w:val="center"/>
            <w:hideMark/>
          </w:tcPr>
          <w:p w:rsidR="00801DE9" w:rsidRPr="00801DE9" w:rsidRDefault="00801DE9" w:rsidP="00801DE9">
            <w:pPr>
              <w:spacing w:after="0" w:line="240" w:lineRule="auto"/>
              <w:jc w:val="center"/>
              <w:rPr>
                <w:rFonts w:ascii="Sylfaen" w:eastAsia="Times New Roman" w:hAnsi="Sylfaen" w:cs="Arial"/>
                <w:b/>
                <w:bCs/>
                <w:sz w:val="18"/>
                <w:szCs w:val="18"/>
              </w:rPr>
            </w:pPr>
            <w:r w:rsidRPr="00801DE9">
              <w:rPr>
                <w:rFonts w:ascii="Sylfaen" w:eastAsia="Times New Roman" w:hAnsi="Sylfaen" w:cs="Arial"/>
                <w:b/>
                <w:bCs/>
                <w:sz w:val="18"/>
                <w:szCs w:val="18"/>
              </w:rPr>
              <w:t>პროგნოზი</w:t>
            </w:r>
          </w:p>
        </w:tc>
        <w:tc>
          <w:tcPr>
            <w:tcW w:w="537" w:type="pct"/>
            <w:shd w:val="clear" w:color="000000" w:fill="FFFFFF"/>
            <w:noWrap/>
            <w:vAlign w:val="center"/>
            <w:hideMark/>
          </w:tcPr>
          <w:p w:rsidR="00801DE9" w:rsidRPr="00801DE9" w:rsidRDefault="00801DE9" w:rsidP="00801DE9">
            <w:pPr>
              <w:spacing w:after="0" w:line="240" w:lineRule="auto"/>
              <w:jc w:val="center"/>
              <w:rPr>
                <w:rFonts w:ascii="Sylfaen" w:eastAsia="Times New Roman" w:hAnsi="Sylfaen" w:cs="Arial"/>
                <w:b/>
                <w:bCs/>
                <w:sz w:val="18"/>
                <w:szCs w:val="18"/>
              </w:rPr>
            </w:pPr>
            <w:r w:rsidRPr="00801DE9">
              <w:rPr>
                <w:rFonts w:ascii="Sylfaen" w:eastAsia="Times New Roman" w:hAnsi="Sylfaen" w:cs="Arial"/>
                <w:b/>
                <w:bCs/>
                <w:sz w:val="18"/>
                <w:szCs w:val="18"/>
              </w:rPr>
              <w:t>პროგნოზი</w:t>
            </w:r>
          </w:p>
        </w:tc>
        <w:tc>
          <w:tcPr>
            <w:tcW w:w="537" w:type="pct"/>
            <w:shd w:val="clear" w:color="auto" w:fill="auto"/>
            <w:noWrap/>
            <w:vAlign w:val="center"/>
            <w:hideMark/>
          </w:tcPr>
          <w:p w:rsidR="00801DE9" w:rsidRPr="00801DE9" w:rsidRDefault="00801DE9" w:rsidP="00801DE9">
            <w:pPr>
              <w:spacing w:after="0" w:line="240" w:lineRule="auto"/>
              <w:jc w:val="center"/>
              <w:rPr>
                <w:rFonts w:ascii="Sylfaen" w:eastAsia="Times New Roman" w:hAnsi="Sylfaen" w:cs="Arial"/>
                <w:b/>
                <w:bCs/>
                <w:sz w:val="18"/>
                <w:szCs w:val="18"/>
              </w:rPr>
            </w:pPr>
            <w:r w:rsidRPr="00801DE9">
              <w:rPr>
                <w:rFonts w:ascii="Sylfaen" w:eastAsia="Times New Roman" w:hAnsi="Sylfaen" w:cs="Arial"/>
                <w:b/>
                <w:bCs/>
                <w:sz w:val="18"/>
                <w:szCs w:val="18"/>
              </w:rPr>
              <w:t>პროგნოზი</w:t>
            </w:r>
          </w:p>
        </w:tc>
        <w:tc>
          <w:tcPr>
            <w:tcW w:w="537" w:type="pct"/>
            <w:shd w:val="clear" w:color="auto" w:fill="auto"/>
            <w:noWrap/>
            <w:vAlign w:val="center"/>
            <w:hideMark/>
          </w:tcPr>
          <w:p w:rsidR="00801DE9" w:rsidRPr="00801DE9" w:rsidRDefault="00801DE9" w:rsidP="00801DE9">
            <w:pPr>
              <w:spacing w:after="0" w:line="240" w:lineRule="auto"/>
              <w:jc w:val="center"/>
              <w:rPr>
                <w:rFonts w:ascii="Sylfaen" w:eastAsia="Times New Roman" w:hAnsi="Sylfaen" w:cs="Arial"/>
                <w:b/>
                <w:bCs/>
                <w:sz w:val="18"/>
                <w:szCs w:val="18"/>
              </w:rPr>
            </w:pPr>
            <w:r w:rsidRPr="00801DE9">
              <w:rPr>
                <w:rFonts w:ascii="Sylfaen" w:eastAsia="Times New Roman" w:hAnsi="Sylfaen" w:cs="Arial"/>
                <w:b/>
                <w:bCs/>
                <w:sz w:val="18"/>
                <w:szCs w:val="18"/>
              </w:rPr>
              <w:t>პროგნოზი</w:t>
            </w:r>
          </w:p>
        </w:tc>
        <w:tc>
          <w:tcPr>
            <w:tcW w:w="537" w:type="pct"/>
            <w:shd w:val="clear" w:color="000000" w:fill="FDE9D9"/>
            <w:noWrap/>
            <w:vAlign w:val="center"/>
            <w:hideMark/>
          </w:tcPr>
          <w:p w:rsidR="00801DE9" w:rsidRPr="00801DE9" w:rsidRDefault="00801DE9" w:rsidP="00801DE9">
            <w:pPr>
              <w:spacing w:after="0" w:line="240" w:lineRule="auto"/>
              <w:jc w:val="center"/>
              <w:rPr>
                <w:rFonts w:ascii="Arial" w:eastAsia="Times New Roman" w:hAnsi="Arial" w:cs="Arial"/>
                <w:b/>
                <w:bCs/>
                <w:sz w:val="18"/>
                <w:szCs w:val="18"/>
              </w:rPr>
            </w:pPr>
            <w:r w:rsidRPr="00801DE9">
              <w:rPr>
                <w:rFonts w:ascii="Sylfaen" w:eastAsia="Times New Roman" w:hAnsi="Sylfaen" w:cs="Sylfaen"/>
                <w:b/>
                <w:bCs/>
                <w:sz w:val="18"/>
                <w:szCs w:val="18"/>
              </w:rPr>
              <w:t>პროგნოზი</w:t>
            </w:r>
          </w:p>
        </w:tc>
      </w:tr>
      <w:tr w:rsidR="00801DE9" w:rsidRPr="00801DE9" w:rsidTr="00542BAD">
        <w:trPr>
          <w:trHeight w:val="113"/>
        </w:trPr>
        <w:tc>
          <w:tcPr>
            <w:tcW w:w="5000" w:type="pct"/>
            <w:gridSpan w:val="7"/>
            <w:shd w:val="clear" w:color="auto" w:fill="auto"/>
            <w:noWrap/>
            <w:vAlign w:val="center"/>
            <w:hideMark/>
          </w:tcPr>
          <w:p w:rsidR="00801DE9" w:rsidRPr="00801DE9" w:rsidRDefault="00801DE9" w:rsidP="00801DE9">
            <w:pPr>
              <w:spacing w:after="0" w:line="240" w:lineRule="auto"/>
              <w:jc w:val="center"/>
              <w:rPr>
                <w:rFonts w:ascii="Sylfaen" w:eastAsia="Times New Roman" w:hAnsi="Sylfaen" w:cs="Arial"/>
                <w:b/>
                <w:bCs/>
              </w:rPr>
            </w:pPr>
          </w:p>
        </w:tc>
      </w:tr>
      <w:tr w:rsidR="00801DE9" w:rsidRPr="00801DE9" w:rsidTr="00542BAD">
        <w:trPr>
          <w:trHeight w:val="113"/>
        </w:trPr>
        <w:tc>
          <w:tcPr>
            <w:tcW w:w="1780" w:type="pct"/>
            <w:shd w:val="clear" w:color="000000" w:fill="DDEBF7"/>
            <w:vAlign w:val="center"/>
            <w:hideMark/>
          </w:tcPr>
          <w:p w:rsidR="00801DE9" w:rsidRPr="00801DE9" w:rsidRDefault="00801DE9" w:rsidP="00801DE9">
            <w:pPr>
              <w:spacing w:after="0" w:line="240" w:lineRule="auto"/>
              <w:rPr>
                <w:rFonts w:ascii="Sylfaen" w:eastAsia="Times New Roman" w:hAnsi="Sylfaen" w:cs="Arial"/>
                <w:b/>
                <w:bCs/>
                <w:sz w:val="18"/>
                <w:szCs w:val="18"/>
              </w:rPr>
            </w:pPr>
            <w:r w:rsidRPr="00801DE9">
              <w:rPr>
                <w:rFonts w:ascii="Sylfaen" w:eastAsia="Times New Roman" w:hAnsi="Sylfaen" w:cs="Arial"/>
                <w:b/>
                <w:bCs/>
                <w:sz w:val="18"/>
                <w:szCs w:val="18"/>
              </w:rPr>
              <w:t>შემოსავლები</w:t>
            </w:r>
          </w:p>
        </w:tc>
        <w:tc>
          <w:tcPr>
            <w:tcW w:w="3220" w:type="pct"/>
            <w:gridSpan w:val="6"/>
            <w:shd w:val="clear" w:color="000000" w:fill="DDEBF7"/>
            <w:noWrap/>
            <w:vAlign w:val="center"/>
            <w:hideMark/>
          </w:tcPr>
          <w:p w:rsidR="00801DE9" w:rsidRPr="00801DE9" w:rsidRDefault="00801DE9" w:rsidP="00801DE9">
            <w:pPr>
              <w:spacing w:after="0" w:line="240" w:lineRule="auto"/>
              <w:jc w:val="center"/>
              <w:rPr>
                <w:rFonts w:ascii="Calibri" w:eastAsia="Times New Roman" w:hAnsi="Calibri" w:cs="Arial"/>
              </w:rPr>
            </w:pPr>
            <w:r w:rsidRPr="00801DE9">
              <w:rPr>
                <w:rFonts w:ascii="Calibri" w:eastAsia="Times New Roman" w:hAnsi="Calibri" w:cs="Arial"/>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2021-2024 </w:t>
            </w:r>
            <w:r w:rsidRPr="00801DE9">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12 626,0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13 402,0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14 969,0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16 331,0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17 827,0</w:t>
            </w:r>
          </w:p>
        </w:tc>
        <w:tc>
          <w:tcPr>
            <w:tcW w:w="537" w:type="pct"/>
            <w:shd w:val="clear" w:color="000000" w:fill="FDE9D9"/>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2022-2025 </w:t>
            </w:r>
            <w:r w:rsidRPr="00801DE9">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12 407,0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14 579,0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16 490,0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18 052,0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19 530,0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21 114,0</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-219,0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1 177,0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1 521,0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1 721,0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1 703,0</w:t>
            </w:r>
          </w:p>
        </w:tc>
        <w:tc>
          <w:tcPr>
            <w:tcW w:w="537" w:type="pct"/>
            <w:shd w:val="clear" w:color="000000" w:fill="FDE9D9"/>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color w:val="203764"/>
                <w:sz w:val="18"/>
                <w:szCs w:val="18"/>
              </w:rPr>
            </w:pPr>
            <w:r w:rsidRPr="00801DE9">
              <w:rPr>
                <w:rFonts w:ascii="Arial" w:eastAsia="Times New Roman" w:hAnsi="Arial" w:cs="Arial"/>
                <w:color w:val="203764"/>
                <w:sz w:val="18"/>
                <w:szCs w:val="18"/>
              </w:rPr>
              <w:t xml:space="preserve">2022-2025 </w:t>
            </w:r>
            <w:r w:rsidRPr="00801DE9">
              <w:rPr>
                <w:rFonts w:ascii="Sylfaen" w:eastAsia="Times New Roman" w:hAnsi="Sylfaen" w:cs="Arial"/>
                <w:color w:val="203764"/>
                <w:sz w:val="18"/>
                <w:szCs w:val="18"/>
              </w:rPr>
              <w:t>პროგნოზი (2021 წლის სექტემბერი)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12 407,0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14 579,0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16 482,0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17 949,0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19 412,0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20 996,0</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-8,0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-103,0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-118,0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-118,0</w:t>
            </w:r>
          </w:p>
        </w:tc>
      </w:tr>
      <w:tr w:rsidR="00801DE9" w:rsidRPr="00801DE9" w:rsidTr="00542BAD">
        <w:trPr>
          <w:trHeight w:val="113"/>
        </w:trPr>
        <w:tc>
          <w:tcPr>
            <w:tcW w:w="5000" w:type="pct"/>
            <w:gridSpan w:val="7"/>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000000" w:fill="DDEBF7"/>
            <w:vAlign w:val="center"/>
            <w:hideMark/>
          </w:tcPr>
          <w:p w:rsidR="00801DE9" w:rsidRPr="00801DE9" w:rsidRDefault="00801DE9" w:rsidP="00801DE9">
            <w:pPr>
              <w:spacing w:after="0" w:line="240" w:lineRule="auto"/>
              <w:rPr>
                <w:rFonts w:ascii="Sylfaen" w:eastAsia="Times New Roman" w:hAnsi="Sylfaen" w:cs="Arial"/>
                <w:b/>
                <w:bCs/>
                <w:sz w:val="18"/>
                <w:szCs w:val="18"/>
              </w:rPr>
            </w:pPr>
            <w:r w:rsidRPr="00801DE9">
              <w:rPr>
                <w:rFonts w:ascii="Sylfaen" w:eastAsia="Times New Roman" w:hAnsi="Sylfaen" w:cs="Arial"/>
                <w:b/>
                <w:bCs/>
                <w:sz w:val="18"/>
                <w:szCs w:val="18"/>
              </w:rPr>
              <w:t>არაფინანსური</w:t>
            </w:r>
            <w:r w:rsidRPr="00801DE9">
              <w:rPr>
                <w:rFonts w:ascii="Arial" w:eastAsia="Times New Roman" w:hAnsi="Arial" w:cs="Arial"/>
                <w:b/>
                <w:bCs/>
                <w:sz w:val="18"/>
                <w:szCs w:val="18"/>
              </w:rPr>
              <w:t xml:space="preserve"> </w:t>
            </w:r>
            <w:r w:rsidRPr="00801DE9">
              <w:rPr>
                <w:rFonts w:ascii="Sylfaen" w:eastAsia="Times New Roman" w:hAnsi="Sylfaen" w:cs="Arial"/>
                <w:b/>
                <w:bCs/>
                <w:sz w:val="18"/>
                <w:szCs w:val="18"/>
              </w:rPr>
              <w:t>აქტივების</w:t>
            </w:r>
            <w:r w:rsidRPr="00801DE9">
              <w:rPr>
                <w:rFonts w:ascii="Arial" w:eastAsia="Times New Roman" w:hAnsi="Arial" w:cs="Arial"/>
                <w:b/>
                <w:bCs/>
                <w:sz w:val="18"/>
                <w:szCs w:val="18"/>
              </w:rPr>
              <w:t xml:space="preserve"> </w:t>
            </w:r>
            <w:r w:rsidRPr="00801DE9">
              <w:rPr>
                <w:rFonts w:ascii="Sylfaen" w:eastAsia="Times New Roman" w:hAnsi="Sylfaen" w:cs="Arial"/>
                <w:b/>
                <w:bCs/>
                <w:sz w:val="18"/>
                <w:szCs w:val="18"/>
              </w:rPr>
              <w:t>კლება</w:t>
            </w:r>
          </w:p>
        </w:tc>
        <w:tc>
          <w:tcPr>
            <w:tcW w:w="3220" w:type="pct"/>
            <w:gridSpan w:val="6"/>
            <w:shd w:val="clear" w:color="000000" w:fill="DDEBF7"/>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2021-2024 </w:t>
            </w:r>
            <w:r w:rsidRPr="00801DE9">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150,0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250,0</w:t>
            </w:r>
          </w:p>
        </w:tc>
        <w:tc>
          <w:tcPr>
            <w:tcW w:w="537" w:type="pct"/>
            <w:shd w:val="clear" w:color="000000" w:fill="FDE9D9"/>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2022-2025 </w:t>
            </w:r>
            <w:r w:rsidRPr="00801DE9">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207,9</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480,0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250,0</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57,9</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230,0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000000" w:fill="FDE9D9"/>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color w:val="203764"/>
                <w:sz w:val="18"/>
                <w:szCs w:val="18"/>
              </w:rPr>
            </w:pPr>
            <w:r w:rsidRPr="00801DE9">
              <w:rPr>
                <w:rFonts w:ascii="Arial" w:eastAsia="Times New Roman" w:hAnsi="Arial" w:cs="Arial"/>
                <w:color w:val="203764"/>
                <w:sz w:val="18"/>
                <w:szCs w:val="18"/>
              </w:rPr>
              <w:t xml:space="preserve">2022-2025 </w:t>
            </w:r>
            <w:r w:rsidRPr="00801DE9">
              <w:rPr>
                <w:rFonts w:ascii="Sylfaen" w:eastAsia="Times New Roman" w:hAnsi="Sylfaen" w:cs="Arial"/>
                <w:color w:val="203764"/>
                <w:sz w:val="18"/>
                <w:szCs w:val="18"/>
              </w:rPr>
              <w:t>პროგნოზი (2021 წლის სექტემბერი)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207,9</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480,0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300,0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250,0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250,0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250,0</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50,0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r>
      <w:tr w:rsidR="00801DE9" w:rsidRPr="00801DE9" w:rsidTr="00542BAD">
        <w:trPr>
          <w:trHeight w:val="113"/>
        </w:trPr>
        <w:tc>
          <w:tcPr>
            <w:tcW w:w="1780" w:type="pct"/>
            <w:shd w:val="clear" w:color="000000" w:fill="DDEBF7"/>
            <w:vAlign w:val="center"/>
            <w:hideMark/>
          </w:tcPr>
          <w:p w:rsidR="00801DE9" w:rsidRPr="00801DE9" w:rsidRDefault="00801DE9" w:rsidP="00801DE9">
            <w:pPr>
              <w:spacing w:after="0" w:line="240" w:lineRule="auto"/>
              <w:rPr>
                <w:rFonts w:ascii="Sylfaen" w:eastAsia="Times New Roman" w:hAnsi="Sylfaen" w:cs="Arial"/>
                <w:b/>
                <w:bCs/>
                <w:sz w:val="18"/>
                <w:szCs w:val="18"/>
              </w:rPr>
            </w:pPr>
            <w:r w:rsidRPr="00801DE9">
              <w:rPr>
                <w:rFonts w:ascii="Sylfaen" w:eastAsia="Times New Roman" w:hAnsi="Sylfaen" w:cs="Arial"/>
                <w:b/>
                <w:bCs/>
                <w:sz w:val="18"/>
                <w:szCs w:val="18"/>
              </w:rPr>
              <w:t>ფინანსური</w:t>
            </w:r>
            <w:r w:rsidRPr="00801DE9">
              <w:rPr>
                <w:rFonts w:ascii="Arial" w:eastAsia="Times New Roman" w:hAnsi="Arial" w:cs="Arial"/>
                <w:b/>
                <w:bCs/>
                <w:sz w:val="18"/>
                <w:szCs w:val="18"/>
              </w:rPr>
              <w:t xml:space="preserve"> </w:t>
            </w:r>
            <w:r w:rsidRPr="00801DE9">
              <w:rPr>
                <w:rFonts w:ascii="Sylfaen" w:eastAsia="Times New Roman" w:hAnsi="Sylfaen" w:cs="Arial"/>
                <w:b/>
                <w:bCs/>
                <w:sz w:val="18"/>
                <w:szCs w:val="18"/>
              </w:rPr>
              <w:t>აქტივების</w:t>
            </w:r>
            <w:r w:rsidRPr="00801DE9">
              <w:rPr>
                <w:rFonts w:ascii="Arial" w:eastAsia="Times New Roman" w:hAnsi="Arial" w:cs="Arial"/>
                <w:b/>
                <w:bCs/>
                <w:sz w:val="18"/>
                <w:szCs w:val="18"/>
              </w:rPr>
              <w:t xml:space="preserve"> </w:t>
            </w:r>
            <w:r w:rsidRPr="00801DE9">
              <w:rPr>
                <w:rFonts w:ascii="Sylfaen" w:eastAsia="Times New Roman" w:hAnsi="Sylfaen" w:cs="Arial"/>
                <w:b/>
                <w:bCs/>
                <w:sz w:val="18"/>
                <w:szCs w:val="18"/>
              </w:rPr>
              <w:t>კლება</w:t>
            </w:r>
          </w:p>
        </w:tc>
        <w:tc>
          <w:tcPr>
            <w:tcW w:w="3220" w:type="pct"/>
            <w:gridSpan w:val="6"/>
            <w:shd w:val="clear" w:color="000000" w:fill="DDEBF7"/>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2021-2024 </w:t>
            </w:r>
            <w:r w:rsidRPr="00801DE9">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130,0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150,0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115,0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115,0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115,0</w:t>
            </w:r>
          </w:p>
        </w:tc>
        <w:tc>
          <w:tcPr>
            <w:tcW w:w="537" w:type="pct"/>
            <w:shd w:val="clear" w:color="000000" w:fill="FDE9D9"/>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2022-2025 </w:t>
            </w:r>
            <w:r w:rsidRPr="00801DE9">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167,4</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210,0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115,0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115,0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115,0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115,0</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37,4</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60,0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000000" w:fill="FDE9D9"/>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color w:val="203764"/>
                <w:sz w:val="18"/>
                <w:szCs w:val="18"/>
              </w:rPr>
            </w:pPr>
            <w:r w:rsidRPr="00801DE9">
              <w:rPr>
                <w:rFonts w:ascii="Arial" w:eastAsia="Times New Roman" w:hAnsi="Arial" w:cs="Arial"/>
                <w:color w:val="203764"/>
                <w:sz w:val="18"/>
                <w:szCs w:val="18"/>
              </w:rPr>
              <w:t xml:space="preserve">2022-2025 </w:t>
            </w:r>
            <w:r w:rsidRPr="00801DE9">
              <w:rPr>
                <w:rFonts w:ascii="Sylfaen" w:eastAsia="Times New Roman" w:hAnsi="Sylfaen" w:cs="Arial"/>
                <w:color w:val="203764"/>
                <w:sz w:val="18"/>
                <w:szCs w:val="18"/>
              </w:rPr>
              <w:t>პროგნოზი (2021 წლის სექტემბერი)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167,4</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210,0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130,0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115,0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115,0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115,0</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15,0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r>
      <w:tr w:rsidR="00801DE9" w:rsidRPr="00801DE9" w:rsidTr="00542BAD">
        <w:trPr>
          <w:trHeight w:val="113"/>
        </w:trPr>
        <w:tc>
          <w:tcPr>
            <w:tcW w:w="5000" w:type="pct"/>
            <w:gridSpan w:val="7"/>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5000" w:type="pct"/>
            <w:gridSpan w:val="7"/>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b/>
                <w:bCs/>
              </w:rPr>
            </w:pPr>
            <w:r w:rsidRPr="00801DE9">
              <w:rPr>
                <w:rFonts w:ascii="Arial" w:eastAsia="Times New Roman" w:hAnsi="Arial" w:cs="Arial"/>
                <w:b/>
                <w:bCs/>
              </w:rPr>
              <w:t xml:space="preserve">% </w:t>
            </w:r>
            <w:r w:rsidRPr="00801DE9">
              <w:rPr>
                <w:rFonts w:ascii="Sylfaen" w:eastAsia="Times New Roman" w:hAnsi="Sylfaen" w:cs="Arial"/>
                <w:b/>
                <w:bCs/>
              </w:rPr>
              <w:t>მშპ</w:t>
            </w:r>
            <w:r w:rsidRPr="00801DE9">
              <w:rPr>
                <w:rFonts w:ascii="Arial" w:eastAsia="Times New Roman" w:hAnsi="Arial" w:cs="Arial"/>
                <w:b/>
                <w:bCs/>
              </w:rPr>
              <w:t>-</w:t>
            </w:r>
            <w:r w:rsidRPr="00801DE9">
              <w:rPr>
                <w:rFonts w:ascii="Sylfaen" w:eastAsia="Times New Roman" w:hAnsi="Sylfaen" w:cs="Arial"/>
                <w:b/>
                <w:bCs/>
              </w:rPr>
              <w:t>თან</w:t>
            </w:r>
          </w:p>
        </w:tc>
      </w:tr>
      <w:tr w:rsidR="00801DE9" w:rsidRPr="00801DE9" w:rsidTr="00542BAD">
        <w:trPr>
          <w:trHeight w:val="113"/>
        </w:trPr>
        <w:tc>
          <w:tcPr>
            <w:tcW w:w="1780" w:type="pct"/>
            <w:shd w:val="clear" w:color="000000" w:fill="DDEBF7"/>
            <w:vAlign w:val="center"/>
            <w:hideMark/>
          </w:tcPr>
          <w:p w:rsidR="00801DE9" w:rsidRPr="00801DE9" w:rsidRDefault="00801DE9" w:rsidP="00801DE9">
            <w:pPr>
              <w:spacing w:after="0" w:line="240" w:lineRule="auto"/>
              <w:rPr>
                <w:rFonts w:ascii="Sylfaen" w:eastAsia="Times New Roman" w:hAnsi="Sylfaen" w:cs="Arial"/>
                <w:b/>
                <w:bCs/>
                <w:sz w:val="18"/>
                <w:szCs w:val="18"/>
              </w:rPr>
            </w:pPr>
            <w:r w:rsidRPr="00801DE9">
              <w:rPr>
                <w:rFonts w:ascii="Sylfaen" w:eastAsia="Times New Roman" w:hAnsi="Sylfaen" w:cs="Arial"/>
                <w:b/>
                <w:bCs/>
                <w:sz w:val="18"/>
                <w:szCs w:val="18"/>
              </w:rPr>
              <w:t>შემოსავლები</w:t>
            </w:r>
          </w:p>
        </w:tc>
        <w:tc>
          <w:tcPr>
            <w:tcW w:w="3220" w:type="pct"/>
            <w:gridSpan w:val="6"/>
            <w:shd w:val="clear" w:color="000000" w:fill="DDEBF7"/>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2021-2024 </w:t>
            </w:r>
            <w:r w:rsidRPr="00801DE9">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25,6%</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25,1%</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25,7%</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25,8%</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26,0%</w:t>
            </w:r>
          </w:p>
        </w:tc>
        <w:tc>
          <w:tcPr>
            <w:tcW w:w="537" w:type="pct"/>
            <w:shd w:val="clear" w:color="000000" w:fill="FCE4D6"/>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2022-2025 </w:t>
            </w:r>
            <w:r w:rsidRPr="00801DE9">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25,1%</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25,5%</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26,0%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25,8%</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25,7%</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25,7%</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-0,5%</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0,4%</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0,2%</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-0,3%</w:t>
            </w:r>
          </w:p>
        </w:tc>
        <w:tc>
          <w:tcPr>
            <w:tcW w:w="537" w:type="pct"/>
            <w:shd w:val="clear" w:color="000000" w:fill="FCE4D6"/>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color w:val="203764"/>
                <w:sz w:val="18"/>
                <w:szCs w:val="18"/>
              </w:rPr>
            </w:pPr>
            <w:r w:rsidRPr="00801DE9">
              <w:rPr>
                <w:rFonts w:ascii="Arial" w:eastAsia="Times New Roman" w:hAnsi="Arial" w:cs="Arial"/>
                <w:color w:val="203764"/>
                <w:sz w:val="18"/>
                <w:szCs w:val="18"/>
              </w:rPr>
              <w:t xml:space="preserve">2022-2025 </w:t>
            </w:r>
            <w:r w:rsidRPr="00801DE9">
              <w:rPr>
                <w:rFonts w:ascii="Sylfaen" w:eastAsia="Times New Roman" w:hAnsi="Sylfaen" w:cs="Arial"/>
                <w:color w:val="203764"/>
                <w:sz w:val="18"/>
                <w:szCs w:val="18"/>
              </w:rPr>
              <w:t>პროგნოზი (2021 წლის სექტემბერი)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25,1%</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25,0%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25,5%</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25,5%</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25,5%</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25,4%</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-0,5%</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-0,5%</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-0,3%</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-0,3%</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-0,3%</w:t>
            </w:r>
          </w:p>
        </w:tc>
      </w:tr>
      <w:tr w:rsidR="00801DE9" w:rsidRPr="00801DE9" w:rsidTr="00542BAD">
        <w:trPr>
          <w:trHeight w:val="113"/>
        </w:trPr>
        <w:tc>
          <w:tcPr>
            <w:tcW w:w="1780" w:type="pct"/>
            <w:shd w:val="clear" w:color="000000" w:fill="DDEBF7"/>
            <w:vAlign w:val="center"/>
            <w:hideMark/>
          </w:tcPr>
          <w:p w:rsidR="00801DE9" w:rsidRPr="00801DE9" w:rsidRDefault="00801DE9" w:rsidP="00801DE9">
            <w:pPr>
              <w:spacing w:after="0" w:line="240" w:lineRule="auto"/>
              <w:rPr>
                <w:rFonts w:ascii="Sylfaen" w:eastAsia="Times New Roman" w:hAnsi="Sylfaen" w:cs="Arial"/>
                <w:b/>
                <w:bCs/>
                <w:sz w:val="18"/>
                <w:szCs w:val="18"/>
              </w:rPr>
            </w:pPr>
            <w:r w:rsidRPr="00801DE9">
              <w:rPr>
                <w:rFonts w:ascii="Sylfaen" w:eastAsia="Times New Roman" w:hAnsi="Sylfaen" w:cs="Arial"/>
                <w:b/>
                <w:bCs/>
                <w:sz w:val="18"/>
                <w:szCs w:val="18"/>
              </w:rPr>
              <w:t>არაფინანსური</w:t>
            </w:r>
            <w:r w:rsidRPr="00801DE9">
              <w:rPr>
                <w:rFonts w:ascii="Arial" w:eastAsia="Times New Roman" w:hAnsi="Arial" w:cs="Arial"/>
                <w:b/>
                <w:bCs/>
                <w:sz w:val="18"/>
                <w:szCs w:val="18"/>
              </w:rPr>
              <w:t xml:space="preserve"> </w:t>
            </w:r>
            <w:r w:rsidRPr="00801DE9">
              <w:rPr>
                <w:rFonts w:ascii="Sylfaen" w:eastAsia="Times New Roman" w:hAnsi="Sylfaen" w:cs="Arial"/>
                <w:b/>
                <w:bCs/>
                <w:sz w:val="18"/>
                <w:szCs w:val="18"/>
              </w:rPr>
              <w:t>აქტივების</w:t>
            </w:r>
            <w:r w:rsidRPr="00801DE9">
              <w:rPr>
                <w:rFonts w:ascii="Arial" w:eastAsia="Times New Roman" w:hAnsi="Arial" w:cs="Arial"/>
                <w:b/>
                <w:bCs/>
                <w:sz w:val="18"/>
                <w:szCs w:val="18"/>
              </w:rPr>
              <w:t xml:space="preserve"> </w:t>
            </w:r>
            <w:r w:rsidRPr="00801DE9">
              <w:rPr>
                <w:rFonts w:ascii="Sylfaen" w:eastAsia="Times New Roman" w:hAnsi="Sylfaen" w:cs="Arial"/>
                <w:b/>
                <w:bCs/>
                <w:sz w:val="18"/>
                <w:szCs w:val="18"/>
              </w:rPr>
              <w:t>კლება</w:t>
            </w:r>
          </w:p>
        </w:tc>
        <w:tc>
          <w:tcPr>
            <w:tcW w:w="3220" w:type="pct"/>
            <w:gridSpan w:val="6"/>
            <w:shd w:val="clear" w:color="000000" w:fill="DDEBF7"/>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2021-2024 </w:t>
            </w:r>
            <w:r w:rsidRPr="00801DE9">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0,3%</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0,5%</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0,4%</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0,4%</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0,4%</w:t>
            </w:r>
          </w:p>
        </w:tc>
        <w:tc>
          <w:tcPr>
            <w:tcW w:w="537" w:type="pct"/>
            <w:shd w:val="clear" w:color="000000" w:fill="FCE4D6"/>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2022-2025 </w:t>
            </w:r>
            <w:r w:rsidRPr="00801DE9">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0,4%</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0,8%</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0,4%</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0,4%</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0,3%</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0,3%</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0,1%</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0,4%</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000000" w:fill="FCE4D6"/>
            <w:noWrap/>
            <w:vAlign w:val="center"/>
            <w:hideMark/>
          </w:tcPr>
          <w:p w:rsidR="00801DE9" w:rsidRPr="00801DE9" w:rsidRDefault="00801DE9" w:rsidP="00801DE9">
            <w:pPr>
              <w:spacing w:after="0" w:line="240" w:lineRule="auto"/>
              <w:rPr>
                <w:rFonts w:ascii="Calibri" w:eastAsia="Times New Roman" w:hAnsi="Calibri" w:cs="Arial"/>
                <w:i/>
                <w:iCs/>
              </w:rPr>
            </w:pPr>
            <w:r w:rsidRPr="00801DE9">
              <w:rPr>
                <w:rFonts w:ascii="Calibri" w:eastAsia="Times New Roman" w:hAnsi="Calibri" w:cs="Arial"/>
                <w:i/>
                <w:iCs/>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color w:val="203764"/>
                <w:sz w:val="18"/>
                <w:szCs w:val="18"/>
              </w:rPr>
            </w:pPr>
            <w:r w:rsidRPr="00801DE9">
              <w:rPr>
                <w:rFonts w:ascii="Arial" w:eastAsia="Times New Roman" w:hAnsi="Arial" w:cs="Arial"/>
                <w:color w:val="203764"/>
                <w:sz w:val="18"/>
                <w:szCs w:val="18"/>
              </w:rPr>
              <w:t xml:space="preserve">2022-2025 </w:t>
            </w:r>
            <w:r w:rsidRPr="00801DE9">
              <w:rPr>
                <w:rFonts w:ascii="Sylfaen" w:eastAsia="Times New Roman" w:hAnsi="Sylfaen" w:cs="Arial"/>
                <w:color w:val="203764"/>
                <w:sz w:val="18"/>
                <w:szCs w:val="18"/>
              </w:rPr>
              <w:t>პროგნოზი (2021 წლის სექტემბერი)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0,4%</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0,8%</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0,5%</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0,4%</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0,3%</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0,3%</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0,1%</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r>
      <w:tr w:rsidR="00801DE9" w:rsidRPr="00801DE9" w:rsidTr="00542BAD">
        <w:trPr>
          <w:trHeight w:val="113"/>
        </w:trPr>
        <w:tc>
          <w:tcPr>
            <w:tcW w:w="1780" w:type="pct"/>
            <w:shd w:val="clear" w:color="000000" w:fill="DDEBF7"/>
            <w:vAlign w:val="center"/>
            <w:hideMark/>
          </w:tcPr>
          <w:p w:rsidR="00801DE9" w:rsidRPr="00801DE9" w:rsidRDefault="00801DE9" w:rsidP="00801DE9">
            <w:pPr>
              <w:spacing w:after="0" w:line="240" w:lineRule="auto"/>
              <w:rPr>
                <w:rFonts w:ascii="Sylfaen" w:eastAsia="Times New Roman" w:hAnsi="Sylfaen" w:cs="Arial"/>
                <w:b/>
                <w:bCs/>
                <w:sz w:val="18"/>
                <w:szCs w:val="18"/>
              </w:rPr>
            </w:pPr>
            <w:r w:rsidRPr="00801DE9">
              <w:rPr>
                <w:rFonts w:ascii="Sylfaen" w:eastAsia="Times New Roman" w:hAnsi="Sylfaen" w:cs="Arial"/>
                <w:b/>
                <w:bCs/>
                <w:sz w:val="18"/>
                <w:szCs w:val="18"/>
              </w:rPr>
              <w:t>ფინანსური</w:t>
            </w:r>
            <w:r w:rsidRPr="00801DE9">
              <w:rPr>
                <w:rFonts w:ascii="Arial" w:eastAsia="Times New Roman" w:hAnsi="Arial" w:cs="Arial"/>
                <w:b/>
                <w:bCs/>
                <w:sz w:val="18"/>
                <w:szCs w:val="18"/>
              </w:rPr>
              <w:t xml:space="preserve"> </w:t>
            </w:r>
            <w:r w:rsidRPr="00801DE9">
              <w:rPr>
                <w:rFonts w:ascii="Sylfaen" w:eastAsia="Times New Roman" w:hAnsi="Sylfaen" w:cs="Arial"/>
                <w:b/>
                <w:bCs/>
                <w:sz w:val="18"/>
                <w:szCs w:val="18"/>
              </w:rPr>
              <w:t>აქტივების</w:t>
            </w:r>
            <w:r w:rsidRPr="00801DE9">
              <w:rPr>
                <w:rFonts w:ascii="Arial" w:eastAsia="Times New Roman" w:hAnsi="Arial" w:cs="Arial"/>
                <w:b/>
                <w:bCs/>
                <w:sz w:val="18"/>
                <w:szCs w:val="18"/>
              </w:rPr>
              <w:t xml:space="preserve"> </w:t>
            </w:r>
            <w:r w:rsidRPr="00801DE9">
              <w:rPr>
                <w:rFonts w:ascii="Sylfaen" w:eastAsia="Times New Roman" w:hAnsi="Sylfaen" w:cs="Arial"/>
                <w:b/>
                <w:bCs/>
                <w:sz w:val="18"/>
                <w:szCs w:val="18"/>
              </w:rPr>
              <w:t>კლება</w:t>
            </w:r>
          </w:p>
        </w:tc>
        <w:tc>
          <w:tcPr>
            <w:tcW w:w="3220" w:type="pct"/>
            <w:gridSpan w:val="6"/>
            <w:shd w:val="clear" w:color="000000" w:fill="DDEBF7"/>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2021-2024 </w:t>
            </w:r>
            <w:r w:rsidRPr="00801DE9">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0,3%</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0,3%</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0,2%</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0,2%</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0,2%</w:t>
            </w:r>
          </w:p>
        </w:tc>
        <w:tc>
          <w:tcPr>
            <w:tcW w:w="537" w:type="pct"/>
            <w:shd w:val="clear" w:color="000000" w:fill="FCE4D6"/>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sz w:val="18"/>
                <w:szCs w:val="18"/>
              </w:rPr>
            </w:pPr>
            <w:r w:rsidRPr="00801DE9">
              <w:rPr>
                <w:rFonts w:ascii="Arial" w:eastAsia="Times New Roman" w:hAnsi="Arial" w:cs="Arial"/>
                <w:sz w:val="18"/>
                <w:szCs w:val="18"/>
              </w:rPr>
              <w:t xml:space="preserve">2022-2025 </w:t>
            </w:r>
            <w:r w:rsidRPr="00801DE9">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0,3%</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0,4%</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0,2%</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0,2%</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0,2%</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sz w:val="18"/>
                <w:szCs w:val="18"/>
              </w:rPr>
            </w:pPr>
            <w:r w:rsidRPr="00801DE9">
              <w:rPr>
                <w:rFonts w:ascii="Arial" w:eastAsia="Times New Roman" w:hAnsi="Arial" w:cs="Arial"/>
                <w:sz w:val="18"/>
                <w:szCs w:val="18"/>
              </w:rPr>
              <w:t>0,1%</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0,1%</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0,1%</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000000" w:fill="FCE4D6"/>
            <w:noWrap/>
            <w:vAlign w:val="center"/>
            <w:hideMark/>
          </w:tcPr>
          <w:p w:rsidR="00801DE9" w:rsidRPr="00801DE9" w:rsidRDefault="00801DE9" w:rsidP="00801DE9">
            <w:pPr>
              <w:spacing w:after="0" w:line="240" w:lineRule="auto"/>
              <w:rPr>
                <w:rFonts w:ascii="Calibri" w:eastAsia="Times New Roman" w:hAnsi="Calibri" w:cs="Arial"/>
                <w:i/>
                <w:iCs/>
              </w:rPr>
            </w:pPr>
            <w:r w:rsidRPr="00801DE9">
              <w:rPr>
                <w:rFonts w:ascii="Calibri" w:eastAsia="Times New Roman" w:hAnsi="Calibri" w:cs="Arial"/>
                <w:i/>
                <w:iCs/>
              </w:rPr>
              <w:t> </w:t>
            </w:r>
          </w:p>
        </w:tc>
      </w:tr>
      <w:tr w:rsidR="00801DE9" w:rsidRPr="00801DE9" w:rsidTr="00542BAD">
        <w:trPr>
          <w:trHeight w:val="113"/>
        </w:trPr>
        <w:tc>
          <w:tcPr>
            <w:tcW w:w="1780" w:type="pct"/>
            <w:shd w:val="clear" w:color="auto" w:fill="auto"/>
            <w:vAlign w:val="center"/>
            <w:hideMark/>
          </w:tcPr>
          <w:p w:rsidR="00801DE9" w:rsidRPr="00801DE9" w:rsidRDefault="00801DE9" w:rsidP="00801DE9">
            <w:pPr>
              <w:spacing w:after="0" w:line="240" w:lineRule="auto"/>
              <w:rPr>
                <w:rFonts w:ascii="Arial" w:eastAsia="Times New Roman" w:hAnsi="Arial" w:cs="Arial"/>
                <w:color w:val="203764"/>
                <w:sz w:val="18"/>
                <w:szCs w:val="18"/>
              </w:rPr>
            </w:pPr>
            <w:r w:rsidRPr="00801DE9">
              <w:rPr>
                <w:rFonts w:ascii="Arial" w:eastAsia="Times New Roman" w:hAnsi="Arial" w:cs="Arial"/>
                <w:color w:val="203764"/>
                <w:sz w:val="18"/>
                <w:szCs w:val="18"/>
              </w:rPr>
              <w:t xml:space="preserve">2022-2025 </w:t>
            </w:r>
            <w:r w:rsidRPr="00801DE9">
              <w:rPr>
                <w:rFonts w:ascii="Sylfaen" w:eastAsia="Times New Roman" w:hAnsi="Sylfaen" w:cs="Arial"/>
                <w:color w:val="203764"/>
                <w:sz w:val="18"/>
                <w:szCs w:val="18"/>
              </w:rPr>
              <w:t>პროგნოზი (2021 წლის სექტემბერი)</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0,3%</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0,4%</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0,2%</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0,2%</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0,2%</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color w:val="203764"/>
                <w:sz w:val="18"/>
                <w:szCs w:val="18"/>
              </w:rPr>
            </w:pPr>
            <w:r w:rsidRPr="00801DE9">
              <w:rPr>
                <w:rFonts w:ascii="Arial" w:eastAsia="Times New Roman" w:hAnsi="Arial" w:cs="Arial"/>
                <w:color w:val="203764"/>
                <w:sz w:val="18"/>
                <w:szCs w:val="18"/>
              </w:rPr>
              <w:t>0,1%</w:t>
            </w:r>
          </w:p>
        </w:tc>
      </w:tr>
      <w:tr w:rsidR="00801DE9" w:rsidRPr="00801DE9" w:rsidTr="00542BAD">
        <w:trPr>
          <w:trHeight w:val="113"/>
        </w:trPr>
        <w:tc>
          <w:tcPr>
            <w:tcW w:w="1780" w:type="pct"/>
            <w:shd w:val="clear" w:color="auto" w:fill="auto"/>
            <w:noWrap/>
            <w:vAlign w:val="center"/>
            <w:hideMark/>
          </w:tcPr>
          <w:p w:rsidR="00801DE9" w:rsidRPr="00801DE9" w:rsidRDefault="00801DE9" w:rsidP="00801DE9">
            <w:pPr>
              <w:spacing w:after="0" w:line="240" w:lineRule="auto"/>
              <w:rPr>
                <w:rFonts w:ascii="Sylfaen" w:eastAsia="Times New Roman" w:hAnsi="Sylfaen" w:cs="Arial"/>
                <w:i/>
                <w:iCs/>
                <w:sz w:val="18"/>
                <w:szCs w:val="18"/>
              </w:rPr>
            </w:pPr>
            <w:r w:rsidRPr="00801DE9">
              <w:rPr>
                <w:rFonts w:ascii="Sylfaen" w:eastAsia="Times New Roman" w:hAnsi="Sylfaen" w:cs="Arial"/>
                <w:i/>
                <w:iCs/>
                <w:sz w:val="18"/>
                <w:szCs w:val="18"/>
              </w:rPr>
              <w:t>ცვლილება</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000000" w:fill="FFFFFF"/>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c>
          <w:tcPr>
            <w:tcW w:w="537" w:type="pct"/>
            <w:shd w:val="clear" w:color="auto" w:fill="auto"/>
            <w:noWrap/>
            <w:vAlign w:val="center"/>
            <w:hideMark/>
          </w:tcPr>
          <w:p w:rsidR="00801DE9" w:rsidRPr="00801DE9" w:rsidRDefault="00801DE9" w:rsidP="00801DE9">
            <w:pPr>
              <w:spacing w:after="0" w:line="240" w:lineRule="auto"/>
              <w:jc w:val="center"/>
              <w:rPr>
                <w:rFonts w:ascii="Arial" w:eastAsia="Times New Roman" w:hAnsi="Arial" w:cs="Arial"/>
                <w:i/>
                <w:iCs/>
                <w:sz w:val="18"/>
                <w:szCs w:val="18"/>
              </w:rPr>
            </w:pPr>
            <w:r w:rsidRPr="00801DE9">
              <w:rPr>
                <w:rFonts w:ascii="Arial" w:eastAsia="Times New Roman" w:hAnsi="Arial" w:cs="Arial"/>
                <w:i/>
                <w:iCs/>
                <w:sz w:val="18"/>
                <w:szCs w:val="18"/>
              </w:rPr>
              <w:t>0,0%</w:t>
            </w:r>
          </w:p>
        </w:tc>
      </w:tr>
    </w:tbl>
    <w:p w:rsidR="00A229BF" w:rsidRDefault="00A229BF" w:rsidP="00A229BF">
      <w:pPr>
        <w:spacing w:line="276" w:lineRule="auto"/>
        <w:rPr>
          <w:rFonts w:ascii="Sylfaen" w:hAnsi="Sylfaen"/>
          <w:b/>
          <w:i/>
          <w:sz w:val="18"/>
          <w:u w:val="single"/>
          <w:lang w:val="ka-GE"/>
        </w:rPr>
      </w:pPr>
    </w:p>
    <w:p w:rsidR="00D7302B" w:rsidRPr="00C9780C" w:rsidRDefault="00A60FDC" w:rsidP="00AD738A">
      <w:pPr>
        <w:spacing w:line="276" w:lineRule="auto"/>
        <w:ind w:firstLine="720"/>
        <w:jc w:val="both"/>
        <w:rPr>
          <w:rFonts w:ascii="Sylfaen" w:hAnsi="Sylfaen"/>
          <w:lang w:val="ka-GE"/>
        </w:rPr>
      </w:pPr>
      <w:r w:rsidRPr="00C9780C">
        <w:rPr>
          <w:rFonts w:ascii="Sylfaen" w:hAnsi="Sylfaen"/>
          <w:lang w:val="ka-GE"/>
        </w:rPr>
        <w:t>2020</w:t>
      </w:r>
      <w:r w:rsidR="006F5CB5" w:rsidRPr="00C9780C">
        <w:rPr>
          <w:rFonts w:ascii="Sylfaen" w:hAnsi="Sylfaen"/>
          <w:lang w:val="ka-GE"/>
        </w:rPr>
        <w:t xml:space="preserve"> და</w:t>
      </w:r>
      <w:r w:rsidR="009C4B89" w:rsidRPr="00C9780C">
        <w:rPr>
          <w:rFonts w:ascii="Sylfaen" w:hAnsi="Sylfaen"/>
          <w:lang w:val="ka-GE"/>
        </w:rPr>
        <w:t xml:space="preserve"> </w:t>
      </w:r>
      <w:r w:rsidRPr="00C9780C">
        <w:rPr>
          <w:rFonts w:ascii="Sylfaen" w:hAnsi="Sylfaen"/>
          <w:lang w:val="ka-GE"/>
        </w:rPr>
        <w:t>2021 წ</w:t>
      </w:r>
      <w:r w:rsidR="006F5CB5" w:rsidRPr="00C9780C">
        <w:rPr>
          <w:rFonts w:ascii="Sylfaen" w:hAnsi="Sylfaen"/>
          <w:lang w:val="ka-GE"/>
        </w:rPr>
        <w:t>ლ</w:t>
      </w:r>
      <w:r w:rsidRPr="00C9780C">
        <w:rPr>
          <w:rFonts w:ascii="Sylfaen" w:hAnsi="Sylfaen"/>
          <w:lang w:val="ka-GE"/>
        </w:rPr>
        <w:t>ებ</w:t>
      </w:r>
      <w:r w:rsidR="00E655E3">
        <w:rPr>
          <w:rFonts w:ascii="Sylfaen" w:hAnsi="Sylfaen"/>
          <w:lang w:val="ka-GE"/>
        </w:rPr>
        <w:t>შ</w:t>
      </w:r>
      <w:r w:rsidR="006F5CB5" w:rsidRPr="00C9780C">
        <w:rPr>
          <w:rFonts w:ascii="Sylfaen" w:hAnsi="Sylfaen"/>
          <w:lang w:val="ka-GE"/>
        </w:rPr>
        <w:t xml:space="preserve">ი, </w:t>
      </w:r>
      <w:r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Pr="00C9780C">
        <w:rPr>
          <w:rFonts w:ascii="Sylfaen" w:hAnsi="Sylfaen"/>
          <w:lang w:val="ka-GE"/>
        </w:rPr>
        <w:t xml:space="preserve"> პანდემიის გასამკლავებლად მოზიდული სახსრები. </w:t>
      </w:r>
      <w:r w:rsidR="00B609ED">
        <w:rPr>
          <w:rFonts w:ascii="Sylfaen" w:hAnsi="Sylfaen"/>
          <w:lang w:val="ka-GE"/>
        </w:rPr>
        <w:t>ამასთან, 2022 წელს საგარეო ვალდებულებების შემცირება</w:t>
      </w:r>
      <w:r w:rsidR="008E26E9">
        <w:rPr>
          <w:rFonts w:ascii="Sylfaen" w:hAnsi="Sylfaen"/>
          <w:lang w:val="ka-GE"/>
        </w:rPr>
        <w:t xml:space="preserve"> 2021 წელთან შედარებით</w:t>
      </w:r>
      <w:r w:rsidR="00B609ED">
        <w:rPr>
          <w:rFonts w:ascii="Sylfaen" w:hAnsi="Sylfaen"/>
          <w:lang w:val="ka-GE"/>
        </w:rPr>
        <w:t xml:space="preserve"> დაკავშირებულია იმ გარემოებასთან, რომ 2021 წლის განხორციელდა </w:t>
      </w:r>
      <w:r w:rsidR="00B609ED">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C24549">
        <w:rPr>
          <w:rFonts w:ascii="Sylfaen" w:hAnsi="Sylfaen"/>
          <w:lang w:val="ka-GE"/>
        </w:rPr>
        <w:t>6)</w:t>
      </w:r>
      <w:r w:rsidRPr="00C9780C">
        <w:rPr>
          <w:rFonts w:ascii="Sylfaen" w:hAnsi="Sylfaen"/>
          <w:lang w:val="ka-GE"/>
        </w:rPr>
        <w:t xml:space="preserve"> წარმოდგენილია ვალდებულებების ზრდის პროგნოზები 2020-202</w:t>
      </w:r>
      <w:r w:rsidR="009C4B89" w:rsidRPr="00C9780C">
        <w:rPr>
          <w:rFonts w:ascii="Sylfaen" w:hAnsi="Sylfaen"/>
          <w:lang w:val="ka-GE"/>
        </w:rPr>
        <w:t>5</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№6</w:t>
      </w:r>
      <w:r w:rsidRPr="00C9780C">
        <w:rPr>
          <w:rFonts w:ascii="Sylfaen" w:hAnsi="Sylfaen" w:cs="Sylfaen"/>
          <w:b/>
          <w:bCs/>
          <w:noProof/>
          <w:sz w:val="20"/>
          <w:szCs w:val="22"/>
          <w:lang w:val="ka-GE"/>
        </w:rPr>
        <w:t xml:space="preserve"> - ვალდებულებების ზრდის პროგნოზები</w:t>
      </w:r>
    </w:p>
    <w:p w:rsidR="00A229BF" w:rsidRP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r>
        <w:rPr>
          <w:rFonts w:ascii="Sylfaen" w:hAnsi="Sylfaen"/>
          <w:b/>
          <w:i/>
          <w:sz w:val="18"/>
          <w:u w:val="single"/>
          <w:lang w:val="ka-GE"/>
        </w:rPr>
        <w:t>მლნ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424"/>
        <w:gridCol w:w="966"/>
        <w:gridCol w:w="1100"/>
        <w:gridCol w:w="1100"/>
        <w:gridCol w:w="1100"/>
        <w:gridCol w:w="1100"/>
        <w:gridCol w:w="1100"/>
      </w:tblGrid>
      <w:tr w:rsidR="00542BAD" w:rsidRPr="00542BAD" w:rsidTr="00542BAD">
        <w:trPr>
          <w:trHeight w:val="113"/>
          <w:tblHeader/>
        </w:trPr>
        <w:tc>
          <w:tcPr>
            <w:tcW w:w="1780" w:type="pct"/>
            <w:vMerge w:val="restart"/>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8"/>
                <w:szCs w:val="18"/>
              </w:rPr>
            </w:pPr>
            <w:r w:rsidRPr="00542BAD">
              <w:rPr>
                <w:rFonts w:ascii="Sylfaen" w:eastAsia="Times New Roman" w:hAnsi="Sylfaen" w:cs="Arial"/>
                <w:b/>
                <w:bCs/>
                <w:sz w:val="18"/>
                <w:szCs w:val="18"/>
              </w:rPr>
              <w:t>დასახელება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2024</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2024</w:t>
            </w:r>
          </w:p>
        </w:tc>
      </w:tr>
      <w:tr w:rsidR="00542BAD" w:rsidRPr="00542BAD" w:rsidTr="00542BAD">
        <w:trPr>
          <w:trHeight w:val="113"/>
          <w:tblHeader/>
        </w:trPr>
        <w:tc>
          <w:tcPr>
            <w:tcW w:w="1780" w:type="pct"/>
            <w:vMerge/>
            <w:vAlign w:val="center"/>
            <w:hideMark/>
          </w:tcPr>
          <w:p w:rsidR="00542BAD" w:rsidRPr="00542BAD" w:rsidRDefault="00542BAD" w:rsidP="00542BAD">
            <w:pPr>
              <w:spacing w:after="0" w:line="240" w:lineRule="auto"/>
              <w:rPr>
                <w:rFonts w:ascii="Sylfaen" w:eastAsia="Times New Roman" w:hAnsi="Sylfaen" w:cs="Arial"/>
                <w:b/>
                <w:bCs/>
                <w:sz w:val="18"/>
                <w:szCs w:val="18"/>
              </w:rPr>
            </w:pPr>
          </w:p>
        </w:tc>
        <w:tc>
          <w:tcPr>
            <w:tcW w:w="537" w:type="pct"/>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8"/>
                <w:szCs w:val="18"/>
              </w:rPr>
            </w:pPr>
            <w:r w:rsidRPr="00542BAD">
              <w:rPr>
                <w:rFonts w:ascii="Sylfaen" w:eastAsia="Times New Roman" w:hAnsi="Sylfaen" w:cs="Arial"/>
                <w:b/>
                <w:bCs/>
                <w:sz w:val="18"/>
                <w:szCs w:val="18"/>
              </w:rPr>
              <w:t>ფაქტი</w:t>
            </w:r>
          </w:p>
        </w:tc>
        <w:tc>
          <w:tcPr>
            <w:tcW w:w="537" w:type="pct"/>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8"/>
                <w:szCs w:val="18"/>
              </w:rPr>
            </w:pPr>
            <w:r w:rsidRPr="00542BAD">
              <w:rPr>
                <w:rFonts w:ascii="Sylfaen" w:eastAsia="Times New Roman" w:hAnsi="Sylfaen" w:cs="Arial"/>
                <w:b/>
                <w:bCs/>
                <w:sz w:val="18"/>
                <w:szCs w:val="18"/>
              </w:rPr>
              <w:t>პროგნოზი</w:t>
            </w:r>
          </w:p>
        </w:tc>
        <w:tc>
          <w:tcPr>
            <w:tcW w:w="537" w:type="pct"/>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8"/>
                <w:szCs w:val="18"/>
              </w:rPr>
            </w:pPr>
            <w:r w:rsidRPr="00542BAD">
              <w:rPr>
                <w:rFonts w:ascii="Sylfaen" w:eastAsia="Times New Roman" w:hAnsi="Sylfaen" w:cs="Arial"/>
                <w:b/>
                <w:bCs/>
                <w:sz w:val="18"/>
                <w:szCs w:val="18"/>
              </w:rPr>
              <w:t>პროგნოზი</w:t>
            </w:r>
          </w:p>
        </w:tc>
        <w:tc>
          <w:tcPr>
            <w:tcW w:w="537" w:type="pct"/>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8"/>
                <w:szCs w:val="18"/>
              </w:rPr>
            </w:pPr>
            <w:r w:rsidRPr="00542BAD">
              <w:rPr>
                <w:rFonts w:ascii="Sylfaen" w:eastAsia="Times New Roman" w:hAnsi="Sylfaen" w:cs="Arial"/>
                <w:b/>
                <w:bCs/>
                <w:sz w:val="18"/>
                <w:szCs w:val="18"/>
              </w:rPr>
              <w:t>პროგნოზი</w:t>
            </w:r>
          </w:p>
        </w:tc>
        <w:tc>
          <w:tcPr>
            <w:tcW w:w="537" w:type="pct"/>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8"/>
                <w:szCs w:val="18"/>
              </w:rPr>
            </w:pPr>
            <w:r w:rsidRPr="00542BAD">
              <w:rPr>
                <w:rFonts w:ascii="Sylfaen" w:eastAsia="Times New Roman" w:hAnsi="Sylfaen" w:cs="Arial"/>
                <w:b/>
                <w:bCs/>
                <w:sz w:val="18"/>
                <w:szCs w:val="18"/>
              </w:rPr>
              <w:t>პროგნოზი</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Sylfaen" w:eastAsia="Times New Roman" w:hAnsi="Sylfaen" w:cs="Sylfaen"/>
                <w:b/>
                <w:bCs/>
                <w:sz w:val="18"/>
                <w:szCs w:val="18"/>
              </w:rPr>
              <w:t>პროგნოზი</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rPr>
                <w:rFonts w:ascii="Arial" w:eastAsia="Times New Roman" w:hAnsi="Arial" w:cs="Arial"/>
                <w:sz w:val="18"/>
                <w:szCs w:val="18"/>
              </w:rPr>
            </w:pPr>
            <w:r w:rsidRPr="00542BAD">
              <w:rPr>
                <w:rFonts w:ascii="Arial" w:eastAsia="Times New Roman" w:hAnsi="Arial" w:cs="Arial"/>
                <w:sz w:val="18"/>
                <w:szCs w:val="18"/>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sz w:val="18"/>
                <w:szCs w:val="18"/>
              </w:rPr>
            </w:pPr>
            <w:r w:rsidRPr="00542BAD">
              <w:rPr>
                <w:rFonts w:ascii="Arial" w:eastAsia="Times New Roman" w:hAnsi="Arial" w:cs="Arial"/>
                <w:sz w:val="18"/>
                <w:szCs w:val="18"/>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sz w:val="18"/>
                <w:szCs w:val="18"/>
              </w:rPr>
            </w:pPr>
            <w:r w:rsidRPr="00542BAD">
              <w:rPr>
                <w:rFonts w:ascii="Arial" w:eastAsia="Times New Roman" w:hAnsi="Arial" w:cs="Arial"/>
                <w:sz w:val="18"/>
                <w:szCs w:val="18"/>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sz w:val="18"/>
                <w:szCs w:val="18"/>
              </w:rPr>
            </w:pPr>
            <w:r w:rsidRPr="00542BAD">
              <w:rPr>
                <w:rFonts w:ascii="Arial" w:eastAsia="Times New Roman" w:hAnsi="Arial" w:cs="Arial"/>
                <w:sz w:val="18"/>
                <w:szCs w:val="18"/>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sz w:val="18"/>
                <w:szCs w:val="18"/>
              </w:rPr>
            </w:pPr>
            <w:r w:rsidRPr="00542BAD">
              <w:rPr>
                <w:rFonts w:ascii="Arial" w:eastAsia="Times New Roman" w:hAnsi="Arial" w:cs="Arial"/>
                <w:sz w:val="18"/>
                <w:szCs w:val="18"/>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sz w:val="18"/>
                <w:szCs w:val="18"/>
              </w:rPr>
            </w:pPr>
            <w:r w:rsidRPr="00542BAD">
              <w:rPr>
                <w:rFonts w:ascii="Arial" w:eastAsia="Times New Roman" w:hAnsi="Arial" w:cs="Arial"/>
                <w:sz w:val="18"/>
                <w:szCs w:val="18"/>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000000" w:fill="DDEBF7"/>
            <w:vAlign w:val="center"/>
            <w:hideMark/>
          </w:tcPr>
          <w:p w:rsidR="00542BAD" w:rsidRPr="00542BAD" w:rsidRDefault="00542BAD" w:rsidP="00542BAD">
            <w:pPr>
              <w:spacing w:after="0" w:line="240" w:lineRule="auto"/>
              <w:rPr>
                <w:rFonts w:ascii="Sylfaen" w:eastAsia="Times New Roman" w:hAnsi="Sylfaen" w:cs="Arial"/>
                <w:b/>
                <w:bCs/>
                <w:sz w:val="20"/>
                <w:szCs w:val="20"/>
              </w:rPr>
            </w:pPr>
            <w:r w:rsidRPr="00542BAD">
              <w:rPr>
                <w:rFonts w:ascii="Sylfaen" w:eastAsia="Times New Roman" w:hAnsi="Sylfaen" w:cs="Arial"/>
                <w:b/>
                <w:bCs/>
                <w:sz w:val="20"/>
                <w:szCs w:val="20"/>
              </w:rPr>
              <w:t>ვალდებულებების ზრდა</w:t>
            </w:r>
          </w:p>
        </w:tc>
        <w:tc>
          <w:tcPr>
            <w:tcW w:w="3220" w:type="pct"/>
            <w:gridSpan w:val="6"/>
            <w:shd w:val="clear" w:color="000000" w:fill="DDEBF7"/>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7 175,0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5 279,0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3 145,0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3 675,0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4 140,0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7 274,4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5 094,0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3 965,0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3 485,0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3 485,0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3 485,0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99,4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-185,0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820,0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-190,0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-655,0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7 290,4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5 124,0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4 403,8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3 500,0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3 500,0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3 500,0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16,0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30,0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438,8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15,0</w:t>
            </w:r>
          </w:p>
        </w:tc>
      </w:tr>
      <w:tr w:rsidR="00542BAD" w:rsidRPr="00542BAD" w:rsidTr="00542BAD">
        <w:trPr>
          <w:trHeight w:val="113"/>
        </w:trPr>
        <w:tc>
          <w:tcPr>
            <w:tcW w:w="1780" w:type="pct"/>
            <w:shd w:val="clear" w:color="000000" w:fill="DDEBF7"/>
            <w:noWrap/>
            <w:vAlign w:val="center"/>
            <w:hideMark/>
          </w:tcPr>
          <w:p w:rsidR="00542BAD" w:rsidRPr="00542BAD" w:rsidRDefault="00542BAD" w:rsidP="00542BAD">
            <w:pPr>
              <w:spacing w:after="0" w:line="240" w:lineRule="auto"/>
              <w:ind w:firstLineChars="300" w:firstLine="602"/>
              <w:rPr>
                <w:rFonts w:ascii="Sylfaen" w:eastAsia="Times New Roman" w:hAnsi="Sylfaen" w:cs="Arial"/>
                <w:b/>
                <w:bCs/>
                <w:sz w:val="20"/>
                <w:szCs w:val="20"/>
              </w:rPr>
            </w:pPr>
            <w:r w:rsidRPr="00542BAD">
              <w:rPr>
                <w:rFonts w:ascii="Sylfaen" w:eastAsia="Times New Roman" w:hAnsi="Sylfaen" w:cs="Arial"/>
                <w:b/>
                <w:bCs/>
                <w:sz w:val="20"/>
                <w:szCs w:val="20"/>
              </w:rPr>
              <w:t>მ</w:t>
            </w:r>
            <w:r w:rsidRPr="00542BAD">
              <w:rPr>
                <w:rFonts w:ascii="Arial" w:eastAsia="Times New Roman" w:hAnsi="Arial" w:cs="Arial"/>
                <w:b/>
                <w:bCs/>
                <w:sz w:val="20"/>
                <w:szCs w:val="20"/>
              </w:rPr>
              <w:t>.</w:t>
            </w:r>
            <w:r w:rsidRPr="00542BAD">
              <w:rPr>
                <w:rFonts w:ascii="Sylfaen" w:eastAsia="Times New Roman" w:hAnsi="Sylfaen" w:cs="Arial"/>
                <w:b/>
                <w:bCs/>
                <w:sz w:val="20"/>
                <w:szCs w:val="20"/>
              </w:rPr>
              <w:t>შ</w:t>
            </w:r>
            <w:r w:rsidRPr="00542BAD">
              <w:rPr>
                <w:rFonts w:ascii="Arial" w:eastAsia="Times New Roman" w:hAnsi="Arial" w:cs="Arial"/>
                <w:b/>
                <w:bCs/>
                <w:sz w:val="20"/>
                <w:szCs w:val="20"/>
              </w:rPr>
              <w:t xml:space="preserve">. </w:t>
            </w:r>
            <w:r w:rsidRPr="00542BAD">
              <w:rPr>
                <w:rFonts w:ascii="Sylfaen" w:eastAsia="Times New Roman" w:hAnsi="Sylfaen" w:cs="Arial"/>
                <w:b/>
                <w:bCs/>
                <w:sz w:val="20"/>
                <w:szCs w:val="20"/>
              </w:rPr>
              <w:t>საშინაო</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1 850,0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1 000,0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1 200,0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1 500,0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2 010,0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-180,0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1 285,0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1 385,0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1 485,0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1 485,0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160,0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-180,0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285,0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185,0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-15,0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2 010,0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-180,0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1 290,0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1 385,0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1 485,0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1 485,0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r>
      <w:tr w:rsidR="00542BAD" w:rsidRPr="00542BAD" w:rsidTr="00542BAD">
        <w:trPr>
          <w:trHeight w:val="113"/>
        </w:trPr>
        <w:tc>
          <w:tcPr>
            <w:tcW w:w="1780" w:type="pct"/>
            <w:shd w:val="clear" w:color="000000" w:fill="DDEBF7"/>
            <w:noWrap/>
            <w:vAlign w:val="center"/>
            <w:hideMark/>
          </w:tcPr>
          <w:p w:rsidR="00542BAD" w:rsidRPr="00542BAD" w:rsidRDefault="00542BAD" w:rsidP="00542BAD">
            <w:pPr>
              <w:spacing w:after="0" w:line="240" w:lineRule="auto"/>
              <w:ind w:firstLineChars="300" w:firstLine="602"/>
              <w:rPr>
                <w:rFonts w:ascii="Sylfaen" w:eastAsia="Times New Roman" w:hAnsi="Sylfaen" w:cs="Arial"/>
                <w:b/>
                <w:bCs/>
                <w:sz w:val="20"/>
                <w:szCs w:val="20"/>
              </w:rPr>
            </w:pPr>
            <w:r w:rsidRPr="00542BAD">
              <w:rPr>
                <w:rFonts w:ascii="Sylfaen" w:eastAsia="Times New Roman" w:hAnsi="Sylfaen" w:cs="Arial"/>
                <w:b/>
                <w:bCs/>
                <w:sz w:val="20"/>
                <w:szCs w:val="20"/>
              </w:rPr>
              <w:t>მ</w:t>
            </w:r>
            <w:r w:rsidRPr="00542BAD">
              <w:rPr>
                <w:rFonts w:ascii="Arial" w:eastAsia="Times New Roman" w:hAnsi="Arial" w:cs="Arial"/>
                <w:b/>
                <w:bCs/>
                <w:sz w:val="20"/>
                <w:szCs w:val="20"/>
              </w:rPr>
              <w:t>.</w:t>
            </w:r>
            <w:r w:rsidRPr="00542BAD">
              <w:rPr>
                <w:rFonts w:ascii="Sylfaen" w:eastAsia="Times New Roman" w:hAnsi="Sylfaen" w:cs="Arial"/>
                <w:b/>
                <w:bCs/>
                <w:sz w:val="20"/>
                <w:szCs w:val="20"/>
              </w:rPr>
              <w:t>შ</w:t>
            </w:r>
            <w:r w:rsidRPr="00542BAD">
              <w:rPr>
                <w:rFonts w:ascii="Arial" w:eastAsia="Times New Roman" w:hAnsi="Arial" w:cs="Arial"/>
                <w:b/>
                <w:bCs/>
                <w:sz w:val="20"/>
                <w:szCs w:val="20"/>
              </w:rPr>
              <w:t xml:space="preserve">. </w:t>
            </w:r>
            <w:r w:rsidRPr="00542BAD">
              <w:rPr>
                <w:rFonts w:ascii="Sylfaen" w:eastAsia="Times New Roman" w:hAnsi="Sylfaen" w:cs="Arial"/>
                <w:b/>
                <w:bCs/>
                <w:sz w:val="20"/>
                <w:szCs w:val="20"/>
              </w:rPr>
              <w:t>საგარეო</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c>
          <w:tcPr>
            <w:tcW w:w="537" w:type="pct"/>
            <w:shd w:val="clear" w:color="000000" w:fill="DDEBF7"/>
            <w:noWrap/>
            <w:vAlign w:val="center"/>
            <w:hideMark/>
          </w:tcPr>
          <w:p w:rsidR="00542BAD" w:rsidRPr="00542BAD" w:rsidRDefault="00542BAD" w:rsidP="00542BAD">
            <w:pPr>
              <w:spacing w:after="0" w:line="240" w:lineRule="auto"/>
              <w:rPr>
                <w:rFonts w:ascii="Arial" w:eastAsia="Times New Roman" w:hAnsi="Arial" w:cs="Arial"/>
                <w:b/>
                <w:bCs/>
                <w:sz w:val="20"/>
                <w:szCs w:val="20"/>
              </w:rPr>
            </w:pPr>
            <w:r w:rsidRPr="00542BAD">
              <w:rPr>
                <w:rFonts w:ascii="Arial" w:eastAsia="Times New Roman" w:hAnsi="Arial" w:cs="Arial"/>
                <w:b/>
                <w:bCs/>
                <w:sz w:val="20"/>
                <w:szCs w:val="20"/>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5 325,0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5 279,0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2 145,0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2 475,0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2 640,0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5 264,3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5 274,0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2 680,0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2 100,0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2 000,0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2 000,0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-60,7</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-5,0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535,0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-375,0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-640,0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5 264,3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5 274,0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3 104,0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2 100,0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2 000,0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2 000,0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424,0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r>
      <w:tr w:rsidR="00542BAD" w:rsidRPr="00542BAD" w:rsidTr="00542BAD">
        <w:trPr>
          <w:trHeight w:val="113"/>
        </w:trPr>
        <w:tc>
          <w:tcPr>
            <w:tcW w:w="5000" w:type="pct"/>
            <w:gridSpan w:val="7"/>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 xml:space="preserve">% </w:t>
            </w:r>
            <w:r w:rsidRPr="00542BAD">
              <w:rPr>
                <w:rFonts w:ascii="Sylfaen" w:eastAsia="Times New Roman" w:hAnsi="Sylfaen" w:cs="Arial"/>
                <w:b/>
                <w:bCs/>
                <w:sz w:val="18"/>
                <w:szCs w:val="18"/>
              </w:rPr>
              <w:t>მშპ</w:t>
            </w:r>
            <w:r w:rsidRPr="00542BAD">
              <w:rPr>
                <w:rFonts w:ascii="Arial" w:eastAsia="Times New Roman" w:hAnsi="Arial" w:cs="Arial"/>
                <w:b/>
                <w:bCs/>
                <w:sz w:val="18"/>
                <w:szCs w:val="18"/>
              </w:rPr>
              <w:t>-</w:t>
            </w:r>
            <w:r w:rsidRPr="00542BAD">
              <w:rPr>
                <w:rFonts w:ascii="Sylfaen" w:eastAsia="Times New Roman" w:hAnsi="Sylfaen" w:cs="Arial"/>
                <w:b/>
                <w:bCs/>
                <w:sz w:val="18"/>
                <w:szCs w:val="18"/>
              </w:rPr>
              <w:t>თან</w:t>
            </w:r>
          </w:p>
        </w:tc>
      </w:tr>
      <w:tr w:rsidR="00542BAD" w:rsidRPr="00542BAD" w:rsidTr="00542BAD">
        <w:trPr>
          <w:trHeight w:val="113"/>
        </w:trPr>
        <w:tc>
          <w:tcPr>
            <w:tcW w:w="1780" w:type="pct"/>
            <w:shd w:val="clear" w:color="000000" w:fill="DDEBF7"/>
            <w:vAlign w:val="center"/>
            <w:hideMark/>
          </w:tcPr>
          <w:p w:rsidR="00542BAD" w:rsidRPr="00542BAD" w:rsidRDefault="00542BAD" w:rsidP="00542BAD">
            <w:pPr>
              <w:spacing w:after="0" w:line="240" w:lineRule="auto"/>
              <w:rPr>
                <w:rFonts w:ascii="Sylfaen" w:eastAsia="Times New Roman" w:hAnsi="Sylfaen" w:cs="Arial"/>
                <w:b/>
                <w:bCs/>
                <w:sz w:val="20"/>
                <w:szCs w:val="20"/>
              </w:rPr>
            </w:pPr>
            <w:r w:rsidRPr="00542BAD">
              <w:rPr>
                <w:rFonts w:ascii="Sylfaen" w:eastAsia="Times New Roman" w:hAnsi="Sylfaen" w:cs="Arial"/>
                <w:b/>
                <w:bCs/>
                <w:sz w:val="20"/>
                <w:szCs w:val="20"/>
              </w:rPr>
              <w:t>ვალდებულებების ზრდა</w:t>
            </w:r>
          </w:p>
        </w:tc>
        <w:tc>
          <w:tcPr>
            <w:tcW w:w="3220" w:type="pct"/>
            <w:gridSpan w:val="6"/>
            <w:shd w:val="clear" w:color="000000" w:fill="DDEBF7"/>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14,5%</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9,9%</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5,4%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5,8%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6,0%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14,7%</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8,9%</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6,2%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4,2%</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-1,4%</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14,8%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8,8%</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6,8%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4,6%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4,2%</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300" w:firstLine="602"/>
              <w:rPr>
                <w:rFonts w:ascii="Sylfaen" w:eastAsia="Times New Roman" w:hAnsi="Sylfaen" w:cs="Arial"/>
                <w:b/>
                <w:bCs/>
                <w:i/>
                <w:iCs/>
                <w:sz w:val="20"/>
                <w:szCs w:val="20"/>
              </w:rPr>
            </w:pPr>
            <w:r w:rsidRPr="00542BAD">
              <w:rPr>
                <w:rFonts w:ascii="Sylfaen" w:eastAsia="Times New Roman" w:hAnsi="Sylfaen" w:cs="Arial"/>
                <w:b/>
                <w:bCs/>
                <w:i/>
                <w:iCs/>
                <w:sz w:val="20"/>
                <w:szCs w:val="20"/>
              </w:rPr>
              <w:t>მ</w:t>
            </w:r>
            <w:r w:rsidRPr="00542BAD">
              <w:rPr>
                <w:rFonts w:ascii="Arial" w:eastAsia="Times New Roman" w:hAnsi="Arial" w:cs="Arial"/>
                <w:b/>
                <w:bCs/>
                <w:i/>
                <w:iCs/>
                <w:sz w:val="20"/>
                <w:szCs w:val="20"/>
              </w:rPr>
              <w:t>.</w:t>
            </w:r>
            <w:r w:rsidRPr="00542BAD">
              <w:rPr>
                <w:rFonts w:ascii="Sylfaen" w:eastAsia="Times New Roman" w:hAnsi="Sylfaen" w:cs="Arial"/>
                <w:b/>
                <w:bCs/>
                <w:i/>
                <w:iCs/>
                <w:sz w:val="20"/>
                <w:szCs w:val="20"/>
              </w:rPr>
              <w:t>შ</w:t>
            </w:r>
            <w:r w:rsidRPr="00542BAD">
              <w:rPr>
                <w:rFonts w:ascii="Arial" w:eastAsia="Times New Roman" w:hAnsi="Arial" w:cs="Arial"/>
                <w:b/>
                <w:bCs/>
                <w:i/>
                <w:iCs/>
                <w:sz w:val="20"/>
                <w:szCs w:val="20"/>
              </w:rPr>
              <w:t xml:space="preserve">. </w:t>
            </w:r>
            <w:r w:rsidRPr="00542BAD">
              <w:rPr>
                <w:rFonts w:ascii="Sylfaen" w:eastAsia="Times New Roman" w:hAnsi="Sylfaen" w:cs="Arial"/>
                <w:b/>
                <w:bCs/>
                <w:i/>
                <w:iCs/>
                <w:sz w:val="20"/>
                <w:szCs w:val="20"/>
              </w:rPr>
              <w:t>საშინაო</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3,7%</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1,7%</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1,9%</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2,2%</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0,0</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-0,3%</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1,8%</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-0,3%</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4,1%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-0,3%</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1,9%</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1,8%</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300" w:firstLine="602"/>
              <w:rPr>
                <w:rFonts w:ascii="Sylfaen" w:eastAsia="Times New Roman" w:hAnsi="Sylfaen" w:cs="Arial"/>
                <w:b/>
                <w:bCs/>
                <w:i/>
                <w:iCs/>
                <w:sz w:val="20"/>
                <w:szCs w:val="20"/>
              </w:rPr>
            </w:pPr>
            <w:r w:rsidRPr="00542BAD">
              <w:rPr>
                <w:rFonts w:ascii="Sylfaen" w:eastAsia="Times New Roman" w:hAnsi="Sylfaen" w:cs="Arial"/>
                <w:b/>
                <w:bCs/>
                <w:i/>
                <w:iCs/>
                <w:sz w:val="20"/>
                <w:szCs w:val="20"/>
              </w:rPr>
              <w:t>მ</w:t>
            </w:r>
            <w:r w:rsidRPr="00542BAD">
              <w:rPr>
                <w:rFonts w:ascii="Arial" w:eastAsia="Times New Roman" w:hAnsi="Arial" w:cs="Arial"/>
                <w:b/>
                <w:bCs/>
                <w:i/>
                <w:iCs/>
                <w:sz w:val="20"/>
                <w:szCs w:val="20"/>
              </w:rPr>
              <w:t>.</w:t>
            </w:r>
            <w:r w:rsidRPr="00542BAD">
              <w:rPr>
                <w:rFonts w:ascii="Sylfaen" w:eastAsia="Times New Roman" w:hAnsi="Sylfaen" w:cs="Arial"/>
                <w:b/>
                <w:bCs/>
                <w:i/>
                <w:iCs/>
                <w:sz w:val="20"/>
                <w:szCs w:val="20"/>
              </w:rPr>
              <w:t>შ</w:t>
            </w:r>
            <w:r w:rsidRPr="00542BAD">
              <w:rPr>
                <w:rFonts w:ascii="Arial" w:eastAsia="Times New Roman" w:hAnsi="Arial" w:cs="Arial"/>
                <w:b/>
                <w:bCs/>
                <w:i/>
                <w:iCs/>
                <w:sz w:val="20"/>
                <w:szCs w:val="20"/>
              </w:rPr>
              <w:t xml:space="preserve">. </w:t>
            </w:r>
            <w:r w:rsidRPr="00542BAD">
              <w:rPr>
                <w:rFonts w:ascii="Sylfaen" w:eastAsia="Times New Roman" w:hAnsi="Sylfaen" w:cs="Arial"/>
                <w:b/>
                <w:bCs/>
                <w:i/>
                <w:iCs/>
                <w:sz w:val="20"/>
                <w:szCs w:val="20"/>
              </w:rPr>
              <w:t>საგარეო</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c>
          <w:tcPr>
            <w:tcW w:w="537" w:type="pct"/>
            <w:shd w:val="clear" w:color="auto" w:fill="auto"/>
            <w:noWrap/>
            <w:vAlign w:val="center"/>
            <w:hideMark/>
          </w:tcPr>
          <w:p w:rsidR="00542BAD" w:rsidRPr="00542BAD" w:rsidRDefault="00542BAD" w:rsidP="00542BAD">
            <w:pPr>
              <w:spacing w:after="0" w:line="240" w:lineRule="auto"/>
              <w:rPr>
                <w:rFonts w:ascii="Arial" w:eastAsia="Times New Roman" w:hAnsi="Arial" w:cs="Arial"/>
                <w:b/>
                <w:bCs/>
                <w:i/>
                <w:iCs/>
                <w:sz w:val="20"/>
                <w:szCs w:val="20"/>
              </w:rPr>
            </w:pPr>
            <w:r w:rsidRPr="00542BAD">
              <w:rPr>
                <w:rFonts w:ascii="Arial" w:eastAsia="Times New Roman" w:hAnsi="Arial" w:cs="Arial"/>
                <w:b/>
                <w:bCs/>
                <w:i/>
                <w:iCs/>
                <w:sz w:val="20"/>
                <w:szCs w:val="20"/>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10,8%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9,9%</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3,7%</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3,9%</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10,7%</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9,2%</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2,4%</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-0,7%</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0,5%</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-0,9%</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-1,2%</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10,7%</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9,0%</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4,8%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3,0%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2,4%</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-0,2%</w:t>
            </w:r>
          </w:p>
        </w:tc>
        <w:tc>
          <w:tcPr>
            <w:tcW w:w="537" w:type="pct"/>
            <w:shd w:val="clear" w:color="000000" w:fill="FFFFFF"/>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r>
    </w:tbl>
    <w:p w:rsidR="00A229BF" w:rsidRDefault="00A229BF" w:rsidP="00A229BF">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DB2104" w:rsidRPr="00C9780C" w:rsidRDefault="009C4B89" w:rsidP="00AD738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 xml:space="preserve">2020-2021 წლების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ღონისძიებების დაფინანსებისთვის საჭირო რესურსებს. </w:t>
      </w:r>
      <w:r w:rsidR="00AD738A" w:rsidRPr="00C9780C">
        <w:rPr>
          <w:rFonts w:ascii="Sylfaen" w:hAnsi="Sylfaen" w:cs="Sylfaen"/>
          <w:lang w:val="ka-GE"/>
        </w:rPr>
        <w:t>202</w:t>
      </w:r>
      <w:r w:rsidRPr="00C9780C">
        <w:rPr>
          <w:rFonts w:ascii="Sylfaen" w:hAnsi="Sylfaen" w:cs="Sylfaen"/>
          <w:lang w:val="ka-GE"/>
        </w:rPr>
        <w:t>2</w:t>
      </w:r>
      <w:r w:rsidR="00AD738A" w:rsidRPr="00C9780C">
        <w:rPr>
          <w:rFonts w:ascii="Sylfaen" w:hAnsi="Sylfaen" w:cs="Sylfaen"/>
          <w:lang w:val="ka-GE"/>
        </w:rPr>
        <w:t>-202</w:t>
      </w:r>
      <w:r w:rsidRPr="00C9780C">
        <w:rPr>
          <w:rFonts w:ascii="Sylfaen" w:hAnsi="Sylfaen" w:cs="Sylfaen"/>
          <w:lang w:val="ka-GE"/>
        </w:rPr>
        <w:t>5</w:t>
      </w:r>
      <w:r w:rsidR="00AD738A" w:rsidRPr="00C9780C">
        <w:rPr>
          <w:rFonts w:ascii="Sylfaen" w:hAnsi="Sylfaen" w:cs="Sylfaen"/>
          <w:lang w:val="ka-GE"/>
        </w:rPr>
        <w:t xml:space="preserve"> წლების საშუალოვადი</w:t>
      </w:r>
      <w:r w:rsidR="005E18E6" w:rsidRPr="00C9780C">
        <w:rPr>
          <w:rFonts w:ascii="Sylfaen" w:hAnsi="Sylfaen" w:cs="Sylfaen"/>
          <w:lang w:val="ka-GE"/>
        </w:rPr>
        <w:t>ა</w:t>
      </w:r>
      <w:r w:rsidR="00AD738A" w:rsidRPr="00C9780C">
        <w:rPr>
          <w:rFonts w:ascii="Sylfaen" w:hAnsi="Sylfaen" w:cs="Sylfaen"/>
          <w:lang w:val="ka-GE"/>
        </w:rPr>
        <w:t>ნი გეგმების ნაწილში გათვალისწინებულია საქართველოს მთავრობის მიერ სხვადასხვა სამინისტროების კომპეტენციის ფარგლებში მიმდინარე პროგრამებისა და ქვეპროგრამების გაგრძელებისათვის</w:t>
      </w:r>
      <w:r w:rsidR="0073343E" w:rsidRPr="00C9780C">
        <w:rPr>
          <w:rFonts w:ascii="Sylfaen" w:hAnsi="Sylfaen" w:cs="Sylfaen"/>
          <w:lang w:val="ka-GE"/>
        </w:rPr>
        <w:t xml:space="preserve"> და ასევე ტრადიციული პროგრამების</w:t>
      </w:r>
      <w:r w:rsidRPr="00C9780C">
        <w:rPr>
          <w:rFonts w:ascii="Sylfaen" w:hAnsi="Sylfaen" w:cs="Sylfaen"/>
          <w:lang w:val="ka-GE"/>
        </w:rPr>
        <w:t xml:space="preserve"> და რეფორმების </w:t>
      </w:r>
      <w:r w:rsidR="0073343E" w:rsidRPr="00C9780C">
        <w:rPr>
          <w:rFonts w:ascii="Sylfaen" w:hAnsi="Sylfaen" w:cs="Sylfaen"/>
          <w:lang w:val="ka-GE"/>
        </w:rPr>
        <w:t>აღდგენისთვის</w:t>
      </w:r>
      <w:r w:rsidR="00AD738A" w:rsidRPr="00C9780C">
        <w:rPr>
          <w:rFonts w:ascii="Sylfaen" w:hAnsi="Sylfaen" w:cs="Sylfaen"/>
          <w:lang w:val="ka-GE"/>
        </w:rPr>
        <w:t xml:space="preserve"> საჭირო ხარჯების დაფინანსება. </w:t>
      </w:r>
    </w:p>
    <w:p w:rsidR="00DB2104" w:rsidRPr="00C9780C" w:rsidRDefault="00AD738A" w:rsidP="00334A00">
      <w:pPr>
        <w:spacing w:after="0" w:line="276" w:lineRule="auto"/>
        <w:ind w:firstLine="720"/>
        <w:jc w:val="both"/>
        <w:rPr>
          <w:rFonts w:ascii="Sylfaen" w:hAnsi="Sylfaen" w:cs="Sylfaen"/>
          <w:bCs/>
          <w:noProof/>
          <w:lang w:val="ka-GE"/>
        </w:rPr>
      </w:pPr>
      <w:r w:rsidRPr="00C9780C">
        <w:rPr>
          <w:rFonts w:ascii="Sylfaen" w:hAnsi="Sylfaen" w:cs="Sylfaen"/>
          <w:lang w:val="ka-GE"/>
        </w:rPr>
        <w:t xml:space="preserve">2020 წელს ნაერთი ბიუჯეტის ხარჯები მშპ-თან მიმართებაში </w:t>
      </w:r>
      <w:r w:rsidR="00E655E3">
        <w:rPr>
          <w:rFonts w:ascii="Sylfaen" w:hAnsi="Sylfaen" w:cs="Sylfaen"/>
          <w:lang w:val="ka-GE"/>
        </w:rPr>
        <w:t xml:space="preserve">განახლებულ პროგნოზებში შენარჩუნებულია </w:t>
      </w:r>
      <w:r w:rsidRPr="00C9780C">
        <w:rPr>
          <w:rFonts w:ascii="Sylfaen" w:hAnsi="Sylfaen" w:cs="Sylfaen"/>
          <w:lang w:val="ka-GE"/>
        </w:rPr>
        <w:t>2</w:t>
      </w:r>
      <w:r w:rsidR="00DB2104" w:rsidRPr="00C9780C">
        <w:rPr>
          <w:rFonts w:ascii="Sylfaen" w:hAnsi="Sylfaen" w:cs="Sylfaen"/>
          <w:lang w:val="ka-GE"/>
        </w:rPr>
        <w:t>6</w:t>
      </w:r>
      <w:r w:rsidRPr="00C9780C">
        <w:rPr>
          <w:rFonts w:ascii="Sylfaen" w:hAnsi="Sylfaen" w:cs="Sylfaen"/>
          <w:lang w:val="ka-GE"/>
        </w:rPr>
        <w:t>.</w:t>
      </w:r>
      <w:r w:rsidR="00DB2104" w:rsidRPr="00C9780C">
        <w:rPr>
          <w:rFonts w:ascii="Sylfaen" w:hAnsi="Sylfaen" w:cs="Sylfaen"/>
          <w:lang w:val="ka-GE"/>
        </w:rPr>
        <w:t>2</w:t>
      </w:r>
      <w:r w:rsidRPr="00C9780C">
        <w:rPr>
          <w:rFonts w:ascii="Sylfaen" w:hAnsi="Sylfaen" w:cs="Sylfaen"/>
          <w:lang w:val="ka-GE"/>
        </w:rPr>
        <w:t xml:space="preserve"> პროცენტამდე</w:t>
      </w:r>
      <w:r w:rsidR="00E655E3">
        <w:rPr>
          <w:rFonts w:ascii="Sylfaen" w:hAnsi="Sylfaen" w:cs="Sylfaen"/>
          <w:lang w:val="ka-GE"/>
        </w:rPr>
        <w:t xml:space="preserve">. </w:t>
      </w:r>
      <w:r w:rsidRPr="00C9780C">
        <w:rPr>
          <w:rFonts w:ascii="Sylfaen" w:hAnsi="Sylfaen" w:cs="Sylfaen"/>
          <w:lang w:val="ka-GE"/>
        </w:rPr>
        <w:t xml:space="preserve"> </w:t>
      </w:r>
      <w:r w:rsidR="00DB2104" w:rsidRPr="00C9780C">
        <w:rPr>
          <w:rFonts w:ascii="Sylfaen" w:hAnsi="Sylfaen" w:cs="Sylfaen"/>
          <w:lang w:val="ka-GE"/>
        </w:rPr>
        <w:t>ასევე</w:t>
      </w:r>
      <w:r w:rsidR="00C24549">
        <w:rPr>
          <w:rFonts w:ascii="Sylfaen" w:hAnsi="Sylfaen" w:cs="Sylfaen"/>
          <w:lang w:val="ka-GE"/>
        </w:rPr>
        <w:t>,</w:t>
      </w:r>
      <w:r w:rsidR="00DB2104" w:rsidRPr="00C9780C">
        <w:rPr>
          <w:rFonts w:ascii="Sylfaen" w:hAnsi="Sylfaen" w:cs="Sylfaen"/>
          <w:lang w:val="ka-GE"/>
        </w:rPr>
        <w:t xml:space="preserve"> </w:t>
      </w:r>
      <w:r w:rsidR="00164376" w:rsidRPr="00C9780C">
        <w:rPr>
          <w:rFonts w:ascii="Sylfaen" w:hAnsi="Sylfaen" w:cs="Sylfaen"/>
          <w:lang w:val="ka-GE"/>
        </w:rPr>
        <w:t xml:space="preserve">2021 წლის ბიუჯეტში მიმდინარე ხარჯები დაიგეგმა </w:t>
      </w:r>
      <w:r w:rsidR="009B5D57">
        <w:rPr>
          <w:rFonts w:ascii="Sylfaen" w:hAnsi="Sylfaen" w:cs="Sylfaen"/>
          <w:lang w:val="ka-GE"/>
        </w:rPr>
        <w:t>25.2</w:t>
      </w:r>
      <w:r w:rsidR="00DB2104" w:rsidRPr="00C9780C">
        <w:rPr>
          <w:rFonts w:ascii="Sylfaen" w:hAnsi="Sylfaen" w:cs="Sylfaen"/>
          <w:lang w:val="ka-GE"/>
        </w:rPr>
        <w:t xml:space="preserve"> პროცენტ</w:t>
      </w:r>
      <w:r w:rsidR="00164376" w:rsidRPr="00C9780C">
        <w:rPr>
          <w:rFonts w:ascii="Sylfaen" w:hAnsi="Sylfaen" w:cs="Sylfaen"/>
          <w:lang w:val="ka-GE"/>
        </w:rPr>
        <w:t>ი</w:t>
      </w:r>
      <w:r w:rsidR="00C24549">
        <w:rPr>
          <w:rFonts w:ascii="Sylfaen" w:hAnsi="Sylfaen" w:cs="Sylfaen"/>
          <w:lang w:val="ka-GE"/>
        </w:rPr>
        <w:t>ს</w:t>
      </w:r>
      <w:r w:rsidR="00164376" w:rsidRPr="00C9780C">
        <w:rPr>
          <w:rFonts w:ascii="Sylfaen" w:hAnsi="Sylfaen" w:cs="Sylfaen"/>
          <w:lang w:val="ka-GE"/>
        </w:rPr>
        <w:t xml:space="preserve"> ოდენობით</w:t>
      </w:r>
      <w:r w:rsidR="009B5D57">
        <w:rPr>
          <w:rFonts w:ascii="Sylfaen" w:hAnsi="Sylfaen" w:cs="Sylfaen"/>
          <w:lang w:val="ka-GE"/>
        </w:rPr>
        <w:t xml:space="preserve"> </w:t>
      </w:r>
      <w:r w:rsidR="00164376" w:rsidRPr="00C9780C">
        <w:rPr>
          <w:rFonts w:ascii="Sylfaen" w:hAnsi="Sylfaen" w:cs="Sylfaen"/>
        </w:rPr>
        <w:t>COVID-19</w:t>
      </w:r>
      <w:r w:rsidR="00C24549">
        <w:rPr>
          <w:rFonts w:ascii="Sylfaen" w:hAnsi="Sylfaen" w:cs="Sylfaen"/>
          <w:lang w:val="ka-GE"/>
        </w:rPr>
        <w:t>-თან</w:t>
      </w:r>
      <w:r w:rsidR="00164376" w:rsidRPr="00C9780C">
        <w:rPr>
          <w:rFonts w:ascii="Sylfaen" w:hAnsi="Sylfaen" w:cs="Sylfaen"/>
          <w:lang w:val="ka-GE"/>
        </w:rPr>
        <w:t xml:space="preserve"> დაკავშირებული გაზრდილი ჯანმრთელობის დაცვისა და ეკონომიკის ხელშეწყობის ღონისძიებების გათვალისწინებით</w:t>
      </w:r>
      <w:r w:rsidR="009B5D57">
        <w:rPr>
          <w:rFonts w:ascii="Sylfaen" w:hAnsi="Sylfaen" w:cs="Sylfaen"/>
          <w:lang w:val="ka-GE"/>
        </w:rPr>
        <w:t>.</w:t>
      </w:r>
      <w:r w:rsidR="00DB2104" w:rsidRPr="00C9780C">
        <w:rPr>
          <w:rFonts w:ascii="Sylfaen" w:hAnsi="Sylfaen" w:cs="Sylfaen"/>
          <w:lang w:val="ka-GE"/>
        </w:rPr>
        <w:t xml:space="preserve"> </w:t>
      </w:r>
      <w:r w:rsidR="00164376" w:rsidRPr="00C9780C">
        <w:rPr>
          <w:rFonts w:ascii="Sylfaen" w:hAnsi="Sylfaen" w:cs="Sylfaen"/>
          <w:lang w:val="ka-GE"/>
        </w:rPr>
        <w:t xml:space="preserve">განახლებული </w:t>
      </w:r>
      <w:r w:rsidRPr="00C9780C">
        <w:rPr>
          <w:rFonts w:ascii="Sylfaen" w:hAnsi="Sylfaen" w:cs="Sylfaen"/>
          <w:lang w:val="ka-GE"/>
        </w:rPr>
        <w:t xml:space="preserve">მშპ-ის </w:t>
      </w:r>
      <w:r w:rsidR="00164376" w:rsidRPr="00C9780C">
        <w:rPr>
          <w:rFonts w:ascii="Sylfaen" w:hAnsi="Sylfaen" w:cs="Sylfaen"/>
          <w:lang w:val="ka-GE"/>
        </w:rPr>
        <w:t>ზრდის ფონზე, წინა პროგნოზებთან შედარებით</w:t>
      </w:r>
      <w:r w:rsidR="00C24549">
        <w:rPr>
          <w:rFonts w:ascii="Sylfaen" w:hAnsi="Sylfaen" w:cs="Sylfaen"/>
          <w:lang w:val="ka-GE"/>
        </w:rPr>
        <w:t>,</w:t>
      </w:r>
      <w:r w:rsidR="00164376" w:rsidRPr="00C9780C">
        <w:rPr>
          <w:rFonts w:ascii="Sylfaen" w:hAnsi="Sylfaen" w:cs="Sylfaen"/>
          <w:lang w:val="ka-GE"/>
        </w:rPr>
        <w:t xml:space="preserve"> მიმდინარე ხარჯების წილი მშპ-თან მიმართებაში </w:t>
      </w:r>
      <w:r w:rsidR="009B5D57">
        <w:rPr>
          <w:rFonts w:ascii="Sylfaen" w:hAnsi="Sylfaen" w:cs="Sylfaen"/>
          <w:lang w:val="ka-GE"/>
        </w:rPr>
        <w:t xml:space="preserve">2022 წლიდან </w:t>
      </w:r>
      <w:r w:rsidR="00164376" w:rsidRPr="00C9780C">
        <w:rPr>
          <w:rFonts w:ascii="Sylfaen" w:hAnsi="Sylfaen" w:cs="Sylfaen"/>
          <w:lang w:val="ka-GE"/>
        </w:rPr>
        <w:t xml:space="preserve">ჩამოდის </w:t>
      </w:r>
      <w:r w:rsidRPr="00C9780C">
        <w:rPr>
          <w:rFonts w:ascii="Sylfaen" w:hAnsi="Sylfaen" w:cs="Sylfaen"/>
          <w:lang w:val="ka-GE"/>
        </w:rPr>
        <w:t>2</w:t>
      </w:r>
      <w:r w:rsidR="009B5D57">
        <w:rPr>
          <w:rFonts w:ascii="Sylfaen" w:hAnsi="Sylfaen" w:cs="Sylfaen"/>
          <w:lang w:val="ka-GE"/>
        </w:rPr>
        <w:t>2</w:t>
      </w:r>
      <w:r w:rsidRPr="00C9780C">
        <w:rPr>
          <w:rFonts w:ascii="Sylfaen" w:hAnsi="Sylfaen" w:cs="Sylfaen"/>
          <w:lang w:val="ka-GE"/>
        </w:rPr>
        <w:t>%-</w:t>
      </w:r>
      <w:r w:rsidR="00164376" w:rsidRPr="00C9780C">
        <w:rPr>
          <w:rFonts w:ascii="Sylfaen" w:hAnsi="Sylfaen" w:cs="Sylfaen"/>
          <w:lang w:val="ka-GE"/>
        </w:rPr>
        <w:t>მდე, ხოლო საშუალო</w:t>
      </w:r>
      <w:r w:rsidR="00C24549">
        <w:rPr>
          <w:rFonts w:ascii="Sylfaen" w:hAnsi="Sylfaen" w:cs="Sylfaen"/>
          <w:lang w:val="ka-GE"/>
        </w:rPr>
        <w:t>ვადიანი</w:t>
      </w:r>
      <w:r w:rsidR="00164376" w:rsidRPr="00C9780C">
        <w:rPr>
          <w:rFonts w:ascii="Sylfaen" w:hAnsi="Sylfaen" w:cs="Sylfaen"/>
          <w:lang w:val="ka-GE"/>
        </w:rPr>
        <w:t xml:space="preserve"> პერიოდის ბოლოსთვის უბრუნდება </w:t>
      </w:r>
      <w:r w:rsidR="00C24549">
        <w:rPr>
          <w:rFonts w:ascii="Sylfaen" w:hAnsi="Sylfaen" w:cs="Sylfaen"/>
          <w:lang w:val="ka-GE"/>
        </w:rPr>
        <w:t>პანდემიამდე</w:t>
      </w:r>
      <w:r w:rsidR="00164376" w:rsidRPr="00C9780C">
        <w:rPr>
          <w:rFonts w:ascii="Sylfaen" w:hAnsi="Sylfaen" w:cs="Sylfaen"/>
          <w:lang w:val="ka-GE"/>
        </w:rPr>
        <w:t xml:space="preserve"> არსებული პროგნოზების ნიშნულს (21</w:t>
      </w:r>
      <w:r w:rsidR="009B5D57">
        <w:rPr>
          <w:rFonts w:ascii="Sylfaen" w:hAnsi="Sylfaen" w:cs="Sylfaen"/>
          <w:lang w:val="ka-GE"/>
        </w:rPr>
        <w:t>.3</w:t>
      </w:r>
      <w:r w:rsidR="00164376" w:rsidRPr="00C9780C">
        <w:rPr>
          <w:rFonts w:ascii="Sylfaen" w:hAnsi="Sylfaen" w:cs="Sylfaen"/>
          <w:lang w:val="ka-GE"/>
        </w:rPr>
        <w:t xml:space="preserve">%). </w:t>
      </w:r>
      <w:r w:rsidR="00B609ED">
        <w:rPr>
          <w:rFonts w:ascii="Sylfaen" w:hAnsi="Sylfaen" w:cs="Sylfaen"/>
          <w:lang w:val="ka-GE"/>
        </w:rPr>
        <w:t>2022 წელს ნაერთი ბიუჯეტის ხარჯები ნომინალურ გამოხატულებაში შემცირებულია 2021 წლის შესაბამის მაჩვენებელთან,</w:t>
      </w:r>
      <w:r w:rsidR="008E26E9">
        <w:rPr>
          <w:rFonts w:ascii="Sylfaen" w:hAnsi="Sylfaen" w:cs="Sylfaen"/>
          <w:lang w:val="ka-GE"/>
        </w:rPr>
        <w:t xml:space="preserve"> ასევე ივლისის პროგნოზთან შედარებით,</w:t>
      </w:r>
      <w:r w:rsidR="00B609ED">
        <w:rPr>
          <w:rFonts w:ascii="Sylfaen" w:hAnsi="Sylfaen" w:cs="Sylfaen"/>
          <w:lang w:val="ka-GE"/>
        </w:rPr>
        <w:t xml:space="preserve"> რაც გამოწვეულია </w:t>
      </w:r>
      <w:r w:rsidR="008E26E9">
        <w:rPr>
          <w:rFonts w:ascii="Sylfaen" w:hAnsi="Sylfaen" w:cs="Sylfaen"/>
          <w:lang w:val="ka-GE"/>
        </w:rPr>
        <w:t>ძირითადად</w:t>
      </w:r>
      <w:r w:rsidR="00B609ED">
        <w:rPr>
          <w:rFonts w:ascii="Sylfaen" w:hAnsi="Sylfaen" w:cs="Sylfaen"/>
          <w:lang w:val="ka-GE"/>
        </w:rPr>
        <w:t xml:space="preserve"> ახალი კორონავირუსის </w:t>
      </w:r>
      <w:r w:rsidR="00B609ED">
        <w:rPr>
          <w:rFonts w:ascii="Sylfaen" w:hAnsi="Sylfaen" w:cs="Sylfaen"/>
        </w:rPr>
        <w:t xml:space="preserve">(COVID-19) </w:t>
      </w:r>
      <w:r w:rsidR="00B609ED">
        <w:rPr>
          <w:rFonts w:ascii="Sylfaen" w:hAnsi="Sylfaen" w:cs="Sylfaen"/>
          <w:lang w:val="ka-GE"/>
        </w:rPr>
        <w:t xml:space="preserve">პანდემიასთან დაკავშირებული ხარჯების  მოსალოდნელი პროგნოზების შემცირებით. </w:t>
      </w:r>
      <w:r w:rsidR="00164376" w:rsidRPr="000E4929">
        <w:rPr>
          <w:rFonts w:ascii="Sylfaen" w:hAnsi="Sylfaen" w:cs="Sylfaen"/>
          <w:lang w:val="ka-GE"/>
        </w:rPr>
        <w:t xml:space="preserve">აღსანიშნავია, რომ </w:t>
      </w:r>
      <w:r w:rsidR="009B5D57">
        <w:rPr>
          <w:rFonts w:ascii="Sylfaen" w:hAnsi="Sylfaen" w:cs="Sylfaen"/>
          <w:lang w:val="ka-GE"/>
        </w:rPr>
        <w:t>განახლებულ პროგნოზებში ასევე</w:t>
      </w:r>
      <w:r w:rsidR="00164376" w:rsidRPr="000E4929">
        <w:rPr>
          <w:rFonts w:ascii="Sylfaen" w:hAnsi="Sylfaen" w:cs="Sylfaen"/>
          <w:lang w:val="ka-GE"/>
        </w:rPr>
        <w:t xml:space="preserve"> ასახულია პენსიის ინდექსაციის, განათლების რეფორმის და სოციალური მიმართულებით არსებული პროგრამებისათვის საჭირო ხარჯები. </w:t>
      </w:r>
    </w:p>
    <w:p w:rsidR="00D75C72" w:rsidRDefault="00117581" w:rsidP="00B453B3">
      <w:pPr>
        <w:spacing w:after="0" w:line="276" w:lineRule="auto"/>
        <w:ind w:firstLine="720"/>
        <w:jc w:val="both"/>
        <w:rPr>
          <w:rFonts w:ascii="Sylfaen" w:hAnsi="Sylfaen" w:cs="Sylfaen"/>
          <w:lang w:val="ka-GE"/>
        </w:rPr>
      </w:pPr>
      <w:r>
        <w:rPr>
          <w:rFonts w:ascii="Sylfaen" w:hAnsi="Sylfaen" w:cs="Sylfaen"/>
          <w:lang w:val="ka-GE"/>
        </w:rPr>
        <w:t xml:space="preserve">მიმდინარე </w:t>
      </w:r>
      <w:r w:rsidR="00B609ED">
        <w:rPr>
          <w:rFonts w:ascii="Sylfaen" w:hAnsi="Sylfaen" w:cs="Sylfaen"/>
          <w:lang w:val="ka-GE"/>
        </w:rPr>
        <w:t>ხარჯებისგან განსხვავებით</w:t>
      </w:r>
      <w:r>
        <w:rPr>
          <w:rFonts w:ascii="Sylfaen" w:hAnsi="Sylfaen" w:cs="Sylfaen"/>
          <w:lang w:val="ka-GE"/>
        </w:rPr>
        <w:t>,</w:t>
      </w:r>
      <w:r w:rsidR="00B609ED">
        <w:rPr>
          <w:rFonts w:ascii="Sylfaen" w:hAnsi="Sylfaen" w:cs="Sylfaen"/>
          <w:lang w:val="ka-GE"/>
        </w:rPr>
        <w:t xml:space="preserve"> განახლებულ პროგნოზებში 2022 წელს მნიშვნელოვნად იზრდება </w:t>
      </w:r>
      <w:r w:rsidR="00C24549">
        <w:rPr>
          <w:rFonts w:ascii="Sylfaen" w:hAnsi="Sylfaen" w:cs="Sylfaen"/>
          <w:lang w:val="ka-GE"/>
        </w:rPr>
        <w:t>კაპიტალური ხარჯების</w:t>
      </w:r>
      <w:r>
        <w:rPr>
          <w:rFonts w:ascii="Sylfaen" w:hAnsi="Sylfaen" w:cs="Sylfaen"/>
          <w:lang w:val="ka-GE"/>
        </w:rPr>
        <w:t xml:space="preserve"> მოცულობა</w:t>
      </w:r>
      <w:r w:rsidR="00B609ED">
        <w:rPr>
          <w:rFonts w:ascii="Sylfaen" w:hAnsi="Sylfaen" w:cs="Sylfaen"/>
          <w:lang w:val="ka-GE"/>
        </w:rPr>
        <w:t xml:space="preserve"> ნომინალურ გამოხატულებაში, რაც </w:t>
      </w:r>
      <w:r w:rsidR="00D541A1">
        <w:rPr>
          <w:rFonts w:ascii="Sylfaen" w:hAnsi="Sylfaen" w:cs="Sylfaen"/>
          <w:lang w:val="ka-GE"/>
        </w:rPr>
        <w:t xml:space="preserve">განპირობებულია </w:t>
      </w:r>
      <w:r w:rsidR="003B349A" w:rsidRPr="00C9780C">
        <w:rPr>
          <w:rFonts w:ascii="Sylfaen" w:hAnsi="Sylfaen" w:cs="Sylfaen"/>
          <w:lang w:val="ka-GE"/>
        </w:rPr>
        <w:t>აღმოსავლეთ-დასავლეთის ჩქაროსნული მაგისტრალის და სხვა მსხვილი ინფრასტრუქტურული პროექტების აქტიურ ფაზაში შესვლი</w:t>
      </w:r>
      <w:r w:rsidR="00D541A1">
        <w:rPr>
          <w:rFonts w:ascii="Sylfaen" w:hAnsi="Sylfaen" w:cs="Sylfaen"/>
          <w:lang w:val="ka-GE"/>
        </w:rPr>
        <w:t xml:space="preserve">თ.  კერძოდ, </w:t>
      </w:r>
      <w:r w:rsidR="003F57B5">
        <w:rPr>
          <w:rFonts w:ascii="Sylfaen" w:hAnsi="Sylfaen" w:cs="Sylfaen"/>
          <w:lang w:val="ka-GE"/>
        </w:rPr>
        <w:t xml:space="preserve">2022 წელს </w:t>
      </w:r>
      <w:r w:rsidR="00D541A1">
        <w:rPr>
          <w:rFonts w:ascii="Sylfaen" w:hAnsi="Sylfaen" w:cs="Sylfaen"/>
          <w:lang w:val="ka-GE"/>
        </w:rPr>
        <w:t xml:space="preserve">2021 წელთან შედარებით  კაპიტალური ხარჯები (არაფინანსური აქტივების ზრდა) </w:t>
      </w:r>
      <w:r w:rsidR="003F57B5">
        <w:rPr>
          <w:rFonts w:ascii="Sylfaen" w:hAnsi="Sylfaen" w:cs="Sylfaen"/>
          <w:lang w:val="ka-GE"/>
        </w:rPr>
        <w:t xml:space="preserve">გაზრდილია </w:t>
      </w:r>
      <w:r w:rsidR="00D541A1">
        <w:rPr>
          <w:rFonts w:ascii="Sylfaen" w:hAnsi="Sylfaen" w:cs="Sylfaen"/>
          <w:lang w:val="ka-GE"/>
        </w:rPr>
        <w:t>1.2 მლრდ ლარზე მეტით 2020 წლის დეკემბრის პროგნოზთან შედარებით. თუმცა,</w:t>
      </w:r>
      <w:r w:rsidR="000D1A8A">
        <w:rPr>
          <w:rFonts w:ascii="Sylfaen" w:hAnsi="Sylfaen" w:cs="Sylfaen"/>
          <w:lang w:val="ka-GE"/>
        </w:rPr>
        <w:t xml:space="preserve"> განახლებულ პროგნოზებში </w:t>
      </w:r>
      <w:r w:rsidR="00B453B3">
        <w:rPr>
          <w:rFonts w:ascii="Sylfaen" w:hAnsi="Sylfaen" w:cs="Sylfaen"/>
          <w:lang w:val="ka-GE"/>
        </w:rPr>
        <w:t>მთლიანი შიდა პროდუქტის ზრდიდან გამომდინარე</w:t>
      </w:r>
      <w:r>
        <w:rPr>
          <w:rFonts w:ascii="Sylfaen" w:hAnsi="Sylfaen" w:cs="Sylfaen"/>
          <w:lang w:val="ka-GE"/>
        </w:rPr>
        <w:t>,</w:t>
      </w:r>
      <w:r w:rsidR="00B453B3">
        <w:rPr>
          <w:rFonts w:ascii="Sylfaen" w:hAnsi="Sylfaen" w:cs="Sylfaen"/>
          <w:lang w:val="ka-GE"/>
        </w:rPr>
        <w:t xml:space="preserve"> </w:t>
      </w:r>
      <w:r w:rsidR="00B453B3" w:rsidRPr="00C9780C">
        <w:rPr>
          <w:rFonts w:ascii="Sylfaen" w:hAnsi="Sylfaen" w:cs="Sylfaen"/>
          <w:lang w:val="ka-GE"/>
        </w:rPr>
        <w:t>კაპიტალური ხარჯები</w:t>
      </w:r>
      <w:r w:rsidR="00B453B3">
        <w:rPr>
          <w:rFonts w:ascii="Sylfaen" w:hAnsi="Sylfaen" w:cs="Sylfaen"/>
          <w:lang w:val="ka-GE"/>
        </w:rPr>
        <w:t>ს (</w:t>
      </w:r>
      <w:r w:rsidR="00B453B3" w:rsidRPr="00C9780C">
        <w:rPr>
          <w:rFonts w:ascii="Sylfaen" w:hAnsi="Sylfaen" w:cs="Sylfaen"/>
          <w:lang w:val="ka-GE"/>
        </w:rPr>
        <w:t>არაფინანსური აქტივების ზრდის მუხლი)</w:t>
      </w:r>
      <w:r w:rsidR="00D541A1">
        <w:rPr>
          <w:rFonts w:ascii="Sylfaen" w:hAnsi="Sylfaen" w:cs="Sylfaen"/>
          <w:lang w:val="ka-GE"/>
        </w:rPr>
        <w:t xml:space="preserve"> </w:t>
      </w:r>
      <w:r w:rsidR="00B453B3">
        <w:rPr>
          <w:rFonts w:ascii="Sylfaen" w:hAnsi="Sylfaen" w:cs="Sylfaen"/>
          <w:lang w:val="ka-GE"/>
        </w:rPr>
        <w:t>მშპ-სთან პროცენტული მაჩვენებლები 2020 წელთან შედარებით (8.6%) შემცირებულია და 2022 წელს დაგეგმილია 8.2%-ის ფარგლებში. ამასთან,</w:t>
      </w:r>
      <w:r w:rsidR="000D1A8A">
        <w:rPr>
          <w:rFonts w:ascii="Sylfaen" w:hAnsi="Sylfaen" w:cs="Sylfaen"/>
          <w:lang w:val="ka-GE"/>
        </w:rPr>
        <w:t xml:space="preserve"> საშუალოვადიან პერიოდში</w:t>
      </w:r>
      <w:r w:rsidR="00D541A1">
        <w:rPr>
          <w:rFonts w:ascii="Sylfaen" w:hAnsi="Sylfaen" w:cs="Sylfaen"/>
          <w:lang w:val="ka-GE"/>
        </w:rPr>
        <w:t xml:space="preserve"> </w:t>
      </w:r>
      <w:r w:rsidR="00D75C72" w:rsidRPr="00C9780C">
        <w:rPr>
          <w:rFonts w:ascii="Sylfaen" w:hAnsi="Sylfaen" w:cs="Sylfaen"/>
          <w:lang w:val="ka-GE"/>
        </w:rPr>
        <w:t>დეფიციტის შემცირების პარალელურად კაპიტალური ხარჯები</w:t>
      </w:r>
      <w:r w:rsidR="00702386">
        <w:rPr>
          <w:rFonts w:ascii="Sylfaen" w:hAnsi="Sylfaen" w:cs="Sylfaen"/>
          <w:lang w:val="ka-GE"/>
        </w:rPr>
        <w:t>ს</w:t>
      </w:r>
      <w:r w:rsidR="00D75C72" w:rsidRPr="00C9780C">
        <w:rPr>
          <w:rFonts w:ascii="Sylfaen" w:hAnsi="Sylfaen" w:cs="Sylfaen"/>
          <w:lang w:val="ka-GE"/>
        </w:rPr>
        <w:t xml:space="preserve"> 8%-ის ფარგლებში შენარჩუნება ერთგვარ გამოწვევად რჩება</w:t>
      </w:r>
      <w:r w:rsidR="00334A00">
        <w:rPr>
          <w:rFonts w:ascii="Sylfaen" w:hAnsi="Sylfaen" w:cs="Sylfaen"/>
          <w:lang w:val="ka-GE"/>
        </w:rPr>
        <w:t>.</w:t>
      </w:r>
    </w:p>
    <w:p w:rsidR="00044987" w:rsidRPr="00C9780C" w:rsidRDefault="00044987" w:rsidP="00AD738A">
      <w:pPr>
        <w:spacing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334A00" w:rsidRPr="00334A00">
        <w:rPr>
          <w:rFonts w:ascii="Sylfaen" w:hAnsi="Sylfaen" w:cs="Sylfaen"/>
          <w:bCs/>
          <w:noProof/>
          <w:sz w:val="20"/>
          <w:lang w:val="ka-GE"/>
        </w:rPr>
        <w:t>№7)</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2020-2024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334A00">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424"/>
        <w:gridCol w:w="966"/>
        <w:gridCol w:w="1100"/>
        <w:gridCol w:w="1100"/>
        <w:gridCol w:w="1100"/>
        <w:gridCol w:w="1100"/>
        <w:gridCol w:w="1100"/>
      </w:tblGrid>
      <w:tr w:rsidR="00542BAD" w:rsidRPr="00542BAD" w:rsidTr="00542BAD">
        <w:trPr>
          <w:trHeight w:val="113"/>
          <w:tblHeader/>
        </w:trPr>
        <w:tc>
          <w:tcPr>
            <w:tcW w:w="1780" w:type="pct"/>
            <w:vMerge w:val="restart"/>
            <w:shd w:val="clear" w:color="auto" w:fill="auto"/>
            <w:vAlign w:val="center"/>
            <w:hideMark/>
          </w:tcPr>
          <w:p w:rsidR="00542BAD" w:rsidRPr="00542BAD" w:rsidRDefault="00542BAD" w:rsidP="00542BAD">
            <w:pPr>
              <w:spacing w:after="0" w:line="240" w:lineRule="auto"/>
              <w:jc w:val="center"/>
              <w:rPr>
                <w:rFonts w:ascii="Arial" w:eastAsia="Times New Roman" w:hAnsi="Arial" w:cs="Arial"/>
                <w:b/>
                <w:bCs/>
                <w:sz w:val="20"/>
                <w:szCs w:val="20"/>
              </w:rPr>
            </w:pPr>
            <w:r w:rsidRPr="00542BAD">
              <w:rPr>
                <w:rFonts w:ascii="Sylfaen" w:eastAsia="Times New Roman" w:hAnsi="Sylfaen" w:cs="Sylfaen"/>
                <w:b/>
                <w:bCs/>
                <w:sz w:val="20"/>
                <w:szCs w:val="20"/>
              </w:rPr>
              <w:t>დასახელება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2024</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2025</w:t>
            </w:r>
          </w:p>
        </w:tc>
      </w:tr>
      <w:tr w:rsidR="00542BAD" w:rsidRPr="00542BAD" w:rsidTr="00542BAD">
        <w:trPr>
          <w:trHeight w:val="113"/>
          <w:tblHeader/>
        </w:trPr>
        <w:tc>
          <w:tcPr>
            <w:tcW w:w="1780" w:type="pct"/>
            <w:vMerge/>
            <w:vAlign w:val="center"/>
            <w:hideMark/>
          </w:tcPr>
          <w:p w:rsidR="00542BAD" w:rsidRPr="00542BAD" w:rsidRDefault="00542BAD" w:rsidP="00542BAD">
            <w:pPr>
              <w:spacing w:after="0" w:line="240" w:lineRule="auto"/>
              <w:rPr>
                <w:rFonts w:ascii="Arial" w:eastAsia="Times New Roman" w:hAnsi="Arial" w:cs="Arial"/>
                <w:b/>
                <w:bCs/>
                <w:sz w:val="20"/>
                <w:szCs w:val="20"/>
              </w:rPr>
            </w:pPr>
          </w:p>
        </w:tc>
        <w:tc>
          <w:tcPr>
            <w:tcW w:w="537" w:type="pct"/>
            <w:shd w:val="clear" w:color="auto" w:fill="auto"/>
            <w:noWrap/>
            <w:vAlign w:val="center"/>
            <w:hideMark/>
          </w:tcPr>
          <w:p w:rsidR="00542BAD" w:rsidRPr="00B453B3" w:rsidRDefault="00B453B3" w:rsidP="00542BAD">
            <w:pPr>
              <w:spacing w:after="0" w:line="240" w:lineRule="auto"/>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ფაქტი</w:t>
            </w:r>
          </w:p>
        </w:tc>
        <w:tc>
          <w:tcPr>
            <w:tcW w:w="537" w:type="pct"/>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8"/>
                <w:szCs w:val="18"/>
              </w:rPr>
            </w:pPr>
            <w:r w:rsidRPr="00542BAD">
              <w:rPr>
                <w:rFonts w:ascii="Sylfaen" w:eastAsia="Times New Roman" w:hAnsi="Sylfaen" w:cs="Arial"/>
                <w:b/>
                <w:bCs/>
                <w:sz w:val="18"/>
                <w:szCs w:val="18"/>
              </w:rPr>
              <w:t>პროგნოზი</w:t>
            </w:r>
          </w:p>
        </w:tc>
        <w:tc>
          <w:tcPr>
            <w:tcW w:w="537" w:type="pct"/>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8"/>
                <w:szCs w:val="18"/>
              </w:rPr>
            </w:pPr>
            <w:r w:rsidRPr="00542BAD">
              <w:rPr>
                <w:rFonts w:ascii="Sylfaen" w:eastAsia="Times New Roman" w:hAnsi="Sylfaen" w:cs="Arial"/>
                <w:b/>
                <w:bCs/>
                <w:sz w:val="18"/>
                <w:szCs w:val="18"/>
              </w:rPr>
              <w:t>პროგნოზი</w:t>
            </w:r>
          </w:p>
        </w:tc>
        <w:tc>
          <w:tcPr>
            <w:tcW w:w="537" w:type="pct"/>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8"/>
                <w:szCs w:val="18"/>
              </w:rPr>
            </w:pPr>
            <w:r w:rsidRPr="00542BAD">
              <w:rPr>
                <w:rFonts w:ascii="Sylfaen" w:eastAsia="Times New Roman" w:hAnsi="Sylfaen" w:cs="Arial"/>
                <w:b/>
                <w:bCs/>
                <w:sz w:val="18"/>
                <w:szCs w:val="18"/>
              </w:rPr>
              <w:t>პროგნოზი</w:t>
            </w:r>
          </w:p>
        </w:tc>
        <w:tc>
          <w:tcPr>
            <w:tcW w:w="537" w:type="pct"/>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8"/>
                <w:szCs w:val="18"/>
              </w:rPr>
            </w:pPr>
            <w:r w:rsidRPr="00542BAD">
              <w:rPr>
                <w:rFonts w:ascii="Sylfaen" w:eastAsia="Times New Roman" w:hAnsi="Sylfaen" w:cs="Arial"/>
                <w:b/>
                <w:bCs/>
                <w:sz w:val="18"/>
                <w:szCs w:val="18"/>
              </w:rPr>
              <w:t>პროგნოზი</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Sylfaen" w:eastAsia="Times New Roman" w:hAnsi="Sylfaen" w:cs="Sylfaen"/>
                <w:b/>
                <w:bCs/>
                <w:sz w:val="18"/>
                <w:szCs w:val="18"/>
              </w:rPr>
              <w:t>პროგნოზი</w:t>
            </w:r>
          </w:p>
        </w:tc>
      </w:tr>
      <w:tr w:rsidR="00542BAD" w:rsidRPr="00542BAD" w:rsidTr="00542BAD">
        <w:trPr>
          <w:trHeight w:val="113"/>
        </w:trPr>
        <w:tc>
          <w:tcPr>
            <w:tcW w:w="1780" w:type="pct"/>
            <w:shd w:val="clear" w:color="000000" w:fill="DDEBF7"/>
            <w:vAlign w:val="center"/>
            <w:hideMark/>
          </w:tcPr>
          <w:p w:rsidR="00542BAD" w:rsidRPr="00542BAD" w:rsidRDefault="00542BAD" w:rsidP="00542BAD">
            <w:pPr>
              <w:spacing w:after="0" w:line="240" w:lineRule="auto"/>
              <w:rPr>
                <w:rFonts w:ascii="Sylfaen" w:eastAsia="Times New Roman" w:hAnsi="Sylfaen" w:cs="Arial"/>
                <w:b/>
                <w:bCs/>
                <w:sz w:val="20"/>
                <w:szCs w:val="20"/>
              </w:rPr>
            </w:pPr>
            <w:r w:rsidRPr="00542BAD">
              <w:rPr>
                <w:rFonts w:ascii="Sylfaen" w:eastAsia="Times New Roman" w:hAnsi="Sylfaen" w:cs="Arial"/>
                <w:b/>
                <w:bCs/>
                <w:sz w:val="20"/>
                <w:szCs w:val="20"/>
              </w:rPr>
              <w:t>ხარჯები</w:t>
            </w:r>
          </w:p>
        </w:tc>
        <w:tc>
          <w:tcPr>
            <w:tcW w:w="3220" w:type="pct"/>
            <w:gridSpan w:val="6"/>
            <w:shd w:val="clear" w:color="000000" w:fill="DDEBF7"/>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12 921,0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13 407,0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13 518,0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14 434,0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15 243,0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12 959,6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14 419,0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14 626,0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15 468,0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16 427,0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17 551,0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38,6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1 012,0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1 108,0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1 034,0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1 184,0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12 959,6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14 419,0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14 229,0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15 468,0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16 427,0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17 551,0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-397,0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r>
      <w:tr w:rsidR="00542BAD" w:rsidRPr="00542BAD" w:rsidTr="00542BAD">
        <w:trPr>
          <w:trHeight w:val="113"/>
        </w:trPr>
        <w:tc>
          <w:tcPr>
            <w:tcW w:w="4463" w:type="pct"/>
            <w:gridSpan w:val="6"/>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c>
          <w:tcPr>
            <w:tcW w:w="537" w:type="pct"/>
            <w:shd w:val="clear" w:color="auto" w:fill="auto"/>
            <w:noWrap/>
            <w:vAlign w:val="bottom"/>
            <w:hideMark/>
          </w:tcPr>
          <w:p w:rsidR="00542BAD" w:rsidRPr="00542BAD" w:rsidRDefault="00542BAD" w:rsidP="00542BAD">
            <w:pPr>
              <w:spacing w:after="0" w:line="240" w:lineRule="auto"/>
              <w:rPr>
                <w:rFonts w:ascii="Arial" w:eastAsia="Times New Roman" w:hAnsi="Arial" w:cs="Arial"/>
                <w:sz w:val="20"/>
                <w:szCs w:val="20"/>
              </w:rPr>
            </w:pPr>
            <w:r w:rsidRPr="00542BAD">
              <w:rPr>
                <w:rFonts w:ascii="Arial" w:eastAsia="Times New Roman" w:hAnsi="Arial" w:cs="Arial"/>
                <w:sz w:val="20"/>
                <w:szCs w:val="20"/>
              </w:rPr>
              <w:t> </w:t>
            </w:r>
          </w:p>
        </w:tc>
      </w:tr>
      <w:tr w:rsidR="00542BAD" w:rsidRPr="00542BAD" w:rsidTr="00542BAD">
        <w:trPr>
          <w:trHeight w:val="113"/>
        </w:trPr>
        <w:tc>
          <w:tcPr>
            <w:tcW w:w="1780" w:type="pct"/>
            <w:shd w:val="clear" w:color="000000" w:fill="DDEBF7"/>
            <w:vAlign w:val="center"/>
            <w:hideMark/>
          </w:tcPr>
          <w:p w:rsidR="00542BAD" w:rsidRPr="00542BAD" w:rsidRDefault="00542BAD" w:rsidP="00542BAD">
            <w:pPr>
              <w:spacing w:after="0" w:line="240" w:lineRule="auto"/>
              <w:rPr>
                <w:rFonts w:ascii="Sylfaen" w:eastAsia="Times New Roman" w:hAnsi="Sylfaen" w:cs="Arial"/>
                <w:b/>
                <w:bCs/>
                <w:sz w:val="20"/>
                <w:szCs w:val="20"/>
              </w:rPr>
            </w:pPr>
            <w:r w:rsidRPr="00542BAD">
              <w:rPr>
                <w:rFonts w:ascii="Sylfaen" w:eastAsia="Times New Roman" w:hAnsi="Sylfaen" w:cs="Arial"/>
                <w:b/>
                <w:bCs/>
                <w:sz w:val="20"/>
                <w:szCs w:val="20"/>
              </w:rPr>
              <w:t>კაპიტალური</w:t>
            </w:r>
            <w:r w:rsidRPr="00542BAD">
              <w:rPr>
                <w:rFonts w:ascii="Arial" w:eastAsia="Times New Roman" w:hAnsi="Arial" w:cs="Arial"/>
                <w:b/>
                <w:bCs/>
                <w:sz w:val="20"/>
                <w:szCs w:val="20"/>
              </w:rPr>
              <w:t xml:space="preserve"> </w:t>
            </w:r>
            <w:r w:rsidRPr="00542BAD">
              <w:rPr>
                <w:rFonts w:ascii="Sylfaen" w:eastAsia="Times New Roman" w:hAnsi="Sylfaen" w:cs="Arial"/>
                <w:b/>
                <w:bCs/>
                <w:sz w:val="20"/>
                <w:szCs w:val="20"/>
              </w:rPr>
              <w:t>ხარჯები</w:t>
            </w:r>
          </w:p>
        </w:tc>
        <w:tc>
          <w:tcPr>
            <w:tcW w:w="3220" w:type="pct"/>
            <w:gridSpan w:val="6"/>
            <w:shd w:val="clear" w:color="000000" w:fill="DDEBF7"/>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rPr>
                <w:rFonts w:ascii="Sylfaen" w:eastAsia="Times New Roman" w:hAnsi="Sylfaen" w:cs="Arial"/>
                <w:b/>
                <w:bCs/>
                <w:sz w:val="18"/>
                <w:szCs w:val="18"/>
              </w:rPr>
            </w:pPr>
            <w:r w:rsidRPr="00542BAD">
              <w:rPr>
                <w:rFonts w:ascii="Sylfaen" w:eastAsia="Times New Roman" w:hAnsi="Sylfaen" w:cs="Arial"/>
                <w:b/>
                <w:bCs/>
                <w:sz w:val="18"/>
                <w:szCs w:val="18"/>
              </w:rPr>
              <w:t>არაფინანსური</w:t>
            </w:r>
            <w:r w:rsidRPr="00542BAD">
              <w:rPr>
                <w:rFonts w:ascii="Arial" w:eastAsia="Times New Roman" w:hAnsi="Arial" w:cs="Arial"/>
                <w:b/>
                <w:bCs/>
                <w:sz w:val="18"/>
                <w:szCs w:val="18"/>
              </w:rPr>
              <w:t xml:space="preserve"> </w:t>
            </w:r>
            <w:r w:rsidRPr="00542BAD">
              <w:rPr>
                <w:rFonts w:ascii="Sylfaen" w:eastAsia="Times New Roman" w:hAnsi="Sylfaen" w:cs="Arial"/>
                <w:b/>
                <w:bCs/>
                <w:sz w:val="18"/>
                <w:szCs w:val="18"/>
              </w:rPr>
              <w:t>აქტივების</w:t>
            </w:r>
            <w:r w:rsidRPr="00542BAD">
              <w:rPr>
                <w:rFonts w:ascii="Arial" w:eastAsia="Times New Roman" w:hAnsi="Arial" w:cs="Arial"/>
                <w:b/>
                <w:bCs/>
                <w:sz w:val="18"/>
                <w:szCs w:val="18"/>
              </w:rPr>
              <w:t xml:space="preserve"> </w:t>
            </w:r>
            <w:r w:rsidRPr="00542BAD">
              <w:rPr>
                <w:rFonts w:ascii="Sylfaen" w:eastAsia="Times New Roman" w:hAnsi="Sylfaen" w:cs="Arial"/>
                <w:b/>
                <w:bCs/>
                <w:sz w:val="18"/>
                <w:szCs w:val="18"/>
              </w:rPr>
              <w:t>ზრდა</w:t>
            </w:r>
          </w:p>
        </w:tc>
        <w:tc>
          <w:tcPr>
            <w:tcW w:w="3220" w:type="pct"/>
            <w:gridSpan w:val="6"/>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4 055,0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4 236,0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4 100,0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3 960,0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4 480,0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4 229,4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4 620,0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4 775,0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4 792,0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5 267,0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5 727,0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sz w:val="18"/>
                <w:szCs w:val="18"/>
              </w:rPr>
            </w:pPr>
            <w:r w:rsidRPr="00542BAD">
              <w:rPr>
                <w:rFonts w:ascii="Sylfaen" w:eastAsia="Times New Roman" w:hAnsi="Sylfaen" w:cs="Arial"/>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174,4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384,0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675,0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832,0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787,0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4 229,4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4 620,0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5 330,0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4 674,0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5 149,0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5 609,0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555,0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-118,0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-118,0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-118,0</w:t>
            </w:r>
          </w:p>
        </w:tc>
      </w:tr>
      <w:tr w:rsidR="00542BAD" w:rsidRPr="00542BAD" w:rsidTr="00542BAD">
        <w:trPr>
          <w:trHeight w:val="113"/>
        </w:trPr>
        <w:tc>
          <w:tcPr>
            <w:tcW w:w="1780" w:type="pct"/>
            <w:shd w:val="clear" w:color="000000" w:fill="DDEBF7"/>
            <w:vAlign w:val="center"/>
            <w:hideMark/>
          </w:tcPr>
          <w:p w:rsidR="00542BAD" w:rsidRPr="00542BAD" w:rsidRDefault="00542BAD" w:rsidP="00542BAD">
            <w:pPr>
              <w:spacing w:after="0" w:line="240" w:lineRule="auto"/>
              <w:rPr>
                <w:rFonts w:ascii="Sylfaen" w:eastAsia="Times New Roman" w:hAnsi="Sylfaen" w:cs="Arial"/>
                <w:b/>
                <w:bCs/>
                <w:sz w:val="18"/>
                <w:szCs w:val="18"/>
              </w:rPr>
            </w:pPr>
            <w:r w:rsidRPr="00542BAD">
              <w:rPr>
                <w:rFonts w:ascii="Sylfaen" w:eastAsia="Times New Roman" w:hAnsi="Sylfaen" w:cs="Arial"/>
                <w:b/>
                <w:bCs/>
                <w:sz w:val="18"/>
                <w:szCs w:val="18"/>
              </w:rPr>
              <w:t>ფინანსური</w:t>
            </w:r>
            <w:r w:rsidRPr="00542BAD">
              <w:rPr>
                <w:rFonts w:ascii="Arial" w:eastAsia="Times New Roman" w:hAnsi="Arial" w:cs="Arial"/>
                <w:b/>
                <w:bCs/>
                <w:sz w:val="18"/>
                <w:szCs w:val="18"/>
              </w:rPr>
              <w:t xml:space="preserve"> </w:t>
            </w:r>
            <w:r w:rsidRPr="00542BAD">
              <w:rPr>
                <w:rFonts w:ascii="Sylfaen" w:eastAsia="Times New Roman" w:hAnsi="Sylfaen" w:cs="Arial"/>
                <w:b/>
                <w:bCs/>
                <w:sz w:val="18"/>
                <w:szCs w:val="18"/>
              </w:rPr>
              <w:t>აქტივების</w:t>
            </w:r>
            <w:r w:rsidRPr="00542BAD">
              <w:rPr>
                <w:rFonts w:ascii="Arial" w:eastAsia="Times New Roman" w:hAnsi="Arial" w:cs="Arial"/>
                <w:b/>
                <w:bCs/>
                <w:sz w:val="18"/>
                <w:szCs w:val="18"/>
              </w:rPr>
              <w:t xml:space="preserve"> </w:t>
            </w:r>
            <w:r w:rsidRPr="00542BAD">
              <w:rPr>
                <w:rFonts w:ascii="Sylfaen" w:eastAsia="Times New Roman" w:hAnsi="Sylfaen" w:cs="Arial"/>
                <w:b/>
                <w:bCs/>
                <w:sz w:val="18"/>
                <w:szCs w:val="18"/>
              </w:rPr>
              <w:t>ზრდა</w:t>
            </w:r>
          </w:p>
        </w:tc>
        <w:tc>
          <w:tcPr>
            <w:tcW w:w="3220" w:type="pct"/>
            <w:gridSpan w:val="6"/>
            <w:shd w:val="clear" w:color="000000" w:fill="DDEBF7"/>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190,0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241,0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250,0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250,0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250,0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204,0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155,0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250,0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250,0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250,0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250,0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sz w:val="18"/>
                <w:szCs w:val="18"/>
              </w:rPr>
            </w:pPr>
            <w:r w:rsidRPr="00542BAD">
              <w:rPr>
                <w:rFonts w:ascii="Sylfaen" w:eastAsia="Times New Roman" w:hAnsi="Sylfaen" w:cs="Arial"/>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14,0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-86,0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0,0</w:t>
            </w:r>
          </w:p>
        </w:tc>
        <w:tc>
          <w:tcPr>
            <w:tcW w:w="537" w:type="pct"/>
            <w:shd w:val="clear" w:color="000000" w:fill="FDE9D9"/>
            <w:noWrap/>
            <w:vAlign w:val="center"/>
            <w:hideMark/>
          </w:tcPr>
          <w:p w:rsidR="00542BAD" w:rsidRPr="00542BAD" w:rsidRDefault="00542BAD" w:rsidP="00542BAD">
            <w:pPr>
              <w:spacing w:after="0" w:line="240" w:lineRule="auto"/>
              <w:rPr>
                <w:rFonts w:ascii="Calibri" w:eastAsia="Times New Roman" w:hAnsi="Calibri" w:cs="Calibri"/>
              </w:rPr>
            </w:pPr>
            <w:r w:rsidRPr="00542BAD">
              <w:rPr>
                <w:rFonts w:ascii="Calibri" w:eastAsia="Times New Roman" w:hAnsi="Calibri" w:cs="Calibri"/>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204,0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155,0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205,0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250,0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250,0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250,0</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-45,0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r>
      <w:tr w:rsidR="00542BAD" w:rsidRPr="00542BAD" w:rsidTr="00542BAD">
        <w:trPr>
          <w:trHeight w:val="113"/>
        </w:trPr>
        <w:tc>
          <w:tcPr>
            <w:tcW w:w="4463" w:type="pct"/>
            <w:gridSpan w:val="6"/>
            <w:shd w:val="clear" w:color="auto" w:fill="auto"/>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c>
          <w:tcPr>
            <w:tcW w:w="537" w:type="pct"/>
            <w:shd w:val="clear" w:color="auto" w:fill="auto"/>
            <w:noWrap/>
            <w:vAlign w:val="bottom"/>
            <w:hideMark/>
          </w:tcPr>
          <w:p w:rsidR="00542BAD" w:rsidRPr="00542BAD" w:rsidRDefault="00542BAD" w:rsidP="00542BAD">
            <w:pPr>
              <w:spacing w:after="0" w:line="240" w:lineRule="auto"/>
              <w:rPr>
                <w:rFonts w:ascii="Arial" w:eastAsia="Times New Roman" w:hAnsi="Arial" w:cs="Arial"/>
                <w:sz w:val="20"/>
                <w:szCs w:val="20"/>
              </w:rPr>
            </w:pPr>
            <w:r w:rsidRPr="00542BAD">
              <w:rPr>
                <w:rFonts w:ascii="Arial" w:eastAsia="Times New Roman" w:hAnsi="Arial" w:cs="Arial"/>
                <w:sz w:val="20"/>
                <w:szCs w:val="20"/>
              </w:rPr>
              <w:t> </w:t>
            </w:r>
          </w:p>
        </w:tc>
      </w:tr>
      <w:tr w:rsidR="00542BAD" w:rsidRPr="00542BAD" w:rsidTr="00542BAD">
        <w:trPr>
          <w:trHeight w:val="113"/>
        </w:trPr>
        <w:tc>
          <w:tcPr>
            <w:tcW w:w="5000" w:type="pct"/>
            <w:gridSpan w:val="7"/>
            <w:shd w:val="clear" w:color="auto" w:fill="auto"/>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20"/>
                <w:szCs w:val="18"/>
              </w:rPr>
              <w:t xml:space="preserve">% </w:t>
            </w:r>
            <w:r w:rsidRPr="00542BAD">
              <w:rPr>
                <w:rFonts w:ascii="Sylfaen" w:eastAsia="Times New Roman" w:hAnsi="Sylfaen" w:cs="Arial"/>
                <w:b/>
                <w:bCs/>
                <w:sz w:val="20"/>
                <w:szCs w:val="18"/>
              </w:rPr>
              <w:t>მშპ</w:t>
            </w:r>
            <w:r w:rsidRPr="00542BAD">
              <w:rPr>
                <w:rFonts w:ascii="Arial" w:eastAsia="Times New Roman" w:hAnsi="Arial" w:cs="Arial"/>
                <w:b/>
                <w:bCs/>
                <w:sz w:val="20"/>
                <w:szCs w:val="18"/>
              </w:rPr>
              <w:t>-</w:t>
            </w:r>
            <w:r w:rsidRPr="00542BAD">
              <w:rPr>
                <w:rFonts w:ascii="Sylfaen" w:eastAsia="Times New Roman" w:hAnsi="Sylfaen" w:cs="Arial"/>
                <w:b/>
                <w:bCs/>
                <w:sz w:val="20"/>
                <w:szCs w:val="18"/>
              </w:rPr>
              <w:t>თან</w:t>
            </w:r>
          </w:p>
        </w:tc>
      </w:tr>
      <w:tr w:rsidR="00542BAD" w:rsidRPr="00542BAD" w:rsidTr="00542BAD">
        <w:trPr>
          <w:trHeight w:val="113"/>
        </w:trPr>
        <w:tc>
          <w:tcPr>
            <w:tcW w:w="1780" w:type="pct"/>
            <w:shd w:val="clear" w:color="000000" w:fill="DDEBF7"/>
            <w:vAlign w:val="center"/>
            <w:hideMark/>
          </w:tcPr>
          <w:p w:rsidR="00542BAD" w:rsidRPr="00542BAD" w:rsidRDefault="00542BAD" w:rsidP="00542BAD">
            <w:pPr>
              <w:spacing w:after="0" w:line="240" w:lineRule="auto"/>
              <w:rPr>
                <w:rFonts w:ascii="Sylfaen" w:eastAsia="Times New Roman" w:hAnsi="Sylfaen" w:cs="Arial"/>
                <w:b/>
                <w:bCs/>
                <w:sz w:val="20"/>
                <w:szCs w:val="20"/>
              </w:rPr>
            </w:pPr>
            <w:r w:rsidRPr="00542BAD">
              <w:rPr>
                <w:rFonts w:ascii="Sylfaen" w:eastAsia="Times New Roman" w:hAnsi="Sylfaen" w:cs="Arial"/>
                <w:b/>
                <w:bCs/>
                <w:sz w:val="20"/>
                <w:szCs w:val="20"/>
              </w:rPr>
              <w:t>ხარჯები</w:t>
            </w:r>
          </w:p>
        </w:tc>
        <w:tc>
          <w:tcPr>
            <w:tcW w:w="3220" w:type="pct"/>
            <w:gridSpan w:val="6"/>
            <w:shd w:val="clear" w:color="000000" w:fill="DDEBF7"/>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26,2%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25,1%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23,2%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22,8%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22,2%</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26,2%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25,2%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23,0%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22,1%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21,6%</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21%</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sz w:val="18"/>
                <w:szCs w:val="18"/>
              </w:rPr>
            </w:pPr>
            <w:r w:rsidRPr="00542BAD">
              <w:rPr>
                <w:rFonts w:ascii="Sylfaen" w:eastAsia="Times New Roman" w:hAnsi="Sylfaen" w:cs="Arial"/>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-0,7%</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-0,6%</w:t>
            </w:r>
          </w:p>
        </w:tc>
        <w:tc>
          <w:tcPr>
            <w:tcW w:w="537" w:type="pct"/>
            <w:shd w:val="clear" w:color="000000" w:fill="FDE9D9"/>
            <w:noWrap/>
            <w:vAlign w:val="center"/>
            <w:hideMark/>
          </w:tcPr>
          <w:p w:rsidR="00542BAD" w:rsidRPr="00542BAD" w:rsidRDefault="00542BAD" w:rsidP="00542BAD">
            <w:pPr>
              <w:spacing w:after="0" w:line="240" w:lineRule="auto"/>
              <w:rPr>
                <w:rFonts w:ascii="Calibri" w:eastAsia="Times New Roman" w:hAnsi="Calibri" w:cs="Calibri"/>
              </w:rPr>
            </w:pPr>
            <w:r w:rsidRPr="00542BAD">
              <w:rPr>
                <w:rFonts w:ascii="Calibri" w:eastAsia="Times New Roman" w:hAnsi="Calibri" w:cs="Calibri"/>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26,2%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24,7%</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22,0%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21,6%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21,3%</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-0,5%</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-1,0%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-0,1%</w:t>
            </w:r>
          </w:p>
        </w:tc>
      </w:tr>
      <w:tr w:rsidR="00542BAD" w:rsidRPr="00542BAD" w:rsidTr="00542BAD">
        <w:trPr>
          <w:trHeight w:val="113"/>
        </w:trPr>
        <w:tc>
          <w:tcPr>
            <w:tcW w:w="5000" w:type="pct"/>
            <w:gridSpan w:val="7"/>
            <w:shd w:val="clear" w:color="auto" w:fill="auto"/>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000000" w:fill="DDEBF7"/>
            <w:vAlign w:val="center"/>
            <w:hideMark/>
          </w:tcPr>
          <w:p w:rsidR="00542BAD" w:rsidRPr="00542BAD" w:rsidRDefault="00542BAD" w:rsidP="00542BAD">
            <w:pPr>
              <w:spacing w:after="0" w:line="240" w:lineRule="auto"/>
              <w:rPr>
                <w:rFonts w:ascii="Sylfaen" w:eastAsia="Times New Roman" w:hAnsi="Sylfaen" w:cs="Arial"/>
                <w:b/>
                <w:bCs/>
                <w:sz w:val="20"/>
                <w:szCs w:val="20"/>
              </w:rPr>
            </w:pPr>
            <w:r w:rsidRPr="00542BAD">
              <w:rPr>
                <w:rFonts w:ascii="Sylfaen" w:eastAsia="Times New Roman" w:hAnsi="Sylfaen" w:cs="Arial"/>
                <w:b/>
                <w:bCs/>
                <w:sz w:val="20"/>
                <w:szCs w:val="20"/>
              </w:rPr>
              <w:t>კაპიტალური</w:t>
            </w:r>
            <w:r w:rsidRPr="00542BAD">
              <w:rPr>
                <w:rFonts w:ascii="Arial" w:eastAsia="Times New Roman" w:hAnsi="Arial" w:cs="Arial"/>
                <w:b/>
                <w:bCs/>
                <w:sz w:val="20"/>
                <w:szCs w:val="20"/>
              </w:rPr>
              <w:t xml:space="preserve"> </w:t>
            </w:r>
            <w:r w:rsidRPr="00542BAD">
              <w:rPr>
                <w:rFonts w:ascii="Sylfaen" w:eastAsia="Times New Roman" w:hAnsi="Sylfaen" w:cs="Arial"/>
                <w:b/>
                <w:bCs/>
                <w:sz w:val="20"/>
                <w:szCs w:val="20"/>
              </w:rPr>
              <w:t>ხარჯები</w:t>
            </w:r>
          </w:p>
        </w:tc>
        <w:tc>
          <w:tcPr>
            <w:tcW w:w="3220" w:type="pct"/>
            <w:gridSpan w:val="6"/>
            <w:shd w:val="clear" w:color="000000" w:fill="DDEBF7"/>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rPr>
                <w:rFonts w:ascii="Sylfaen" w:eastAsia="Times New Roman" w:hAnsi="Sylfaen" w:cs="Arial"/>
                <w:b/>
                <w:bCs/>
                <w:sz w:val="18"/>
                <w:szCs w:val="18"/>
              </w:rPr>
            </w:pPr>
            <w:r w:rsidRPr="00542BAD">
              <w:rPr>
                <w:rFonts w:ascii="Sylfaen" w:eastAsia="Times New Roman" w:hAnsi="Sylfaen" w:cs="Arial"/>
                <w:b/>
                <w:bCs/>
                <w:sz w:val="18"/>
                <w:szCs w:val="18"/>
              </w:rPr>
              <w:t>არაფინანსური</w:t>
            </w:r>
            <w:r w:rsidRPr="00542BAD">
              <w:rPr>
                <w:rFonts w:ascii="Arial" w:eastAsia="Times New Roman" w:hAnsi="Arial" w:cs="Arial"/>
                <w:b/>
                <w:bCs/>
                <w:sz w:val="18"/>
                <w:szCs w:val="18"/>
              </w:rPr>
              <w:t xml:space="preserve"> </w:t>
            </w:r>
            <w:r w:rsidRPr="00542BAD">
              <w:rPr>
                <w:rFonts w:ascii="Sylfaen" w:eastAsia="Times New Roman" w:hAnsi="Sylfaen" w:cs="Arial"/>
                <w:b/>
                <w:bCs/>
                <w:sz w:val="18"/>
                <w:szCs w:val="18"/>
              </w:rPr>
              <w:t>აქტივების</w:t>
            </w:r>
            <w:r w:rsidRPr="00542BAD">
              <w:rPr>
                <w:rFonts w:ascii="Arial" w:eastAsia="Times New Roman" w:hAnsi="Arial" w:cs="Arial"/>
                <w:b/>
                <w:bCs/>
                <w:sz w:val="18"/>
                <w:szCs w:val="18"/>
              </w:rPr>
              <w:t xml:space="preserve"> </w:t>
            </w:r>
            <w:r w:rsidRPr="00542BAD">
              <w:rPr>
                <w:rFonts w:ascii="Sylfaen" w:eastAsia="Times New Roman" w:hAnsi="Sylfaen" w:cs="Arial"/>
                <w:b/>
                <w:bCs/>
                <w:sz w:val="18"/>
                <w:szCs w:val="18"/>
              </w:rPr>
              <w:t>ზრდა</w:t>
            </w:r>
          </w:p>
        </w:tc>
        <w:tc>
          <w:tcPr>
            <w:tcW w:w="3220" w:type="pct"/>
            <w:gridSpan w:val="6"/>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8,2%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7,9%</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7,0%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6,3%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6,5%</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8,6%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8,1%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7,5%</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6,9%</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6,9%</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7%</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sz w:val="18"/>
                <w:szCs w:val="18"/>
              </w:rPr>
            </w:pPr>
            <w:r w:rsidRPr="00542BAD">
              <w:rPr>
                <w:rFonts w:ascii="Sylfaen" w:eastAsia="Times New Roman" w:hAnsi="Sylfaen" w:cs="Arial"/>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0,5%</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0,4%</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8,6%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7,9%</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8,2%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6,6%</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6,8%</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6,8%</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0,7%</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-0,2%</w:t>
            </w:r>
          </w:p>
        </w:tc>
      </w:tr>
      <w:tr w:rsidR="00542BAD" w:rsidRPr="00542BAD" w:rsidTr="00542BAD">
        <w:trPr>
          <w:trHeight w:val="113"/>
        </w:trPr>
        <w:tc>
          <w:tcPr>
            <w:tcW w:w="5000" w:type="pct"/>
            <w:gridSpan w:val="7"/>
            <w:shd w:val="clear" w:color="auto" w:fill="auto"/>
            <w:vAlign w:val="center"/>
            <w:hideMark/>
          </w:tcPr>
          <w:p w:rsidR="00542BAD" w:rsidRPr="00542BAD" w:rsidRDefault="00542BAD" w:rsidP="00542BAD">
            <w:pPr>
              <w:spacing w:after="0" w:line="240" w:lineRule="auto"/>
              <w:jc w:val="center"/>
              <w:rPr>
                <w:rFonts w:ascii="Arial" w:eastAsia="Times New Roman" w:hAnsi="Arial" w:cs="Arial"/>
                <w:b/>
                <w:bCs/>
                <w:sz w:val="18"/>
                <w:szCs w:val="18"/>
              </w:rPr>
            </w:pPr>
            <w:r w:rsidRPr="00542BAD">
              <w:rPr>
                <w:rFonts w:ascii="Arial" w:eastAsia="Times New Roman" w:hAnsi="Arial" w:cs="Arial"/>
                <w:b/>
                <w:bCs/>
                <w:sz w:val="18"/>
                <w:szCs w:val="18"/>
              </w:rPr>
              <w:t> </w:t>
            </w:r>
          </w:p>
        </w:tc>
      </w:tr>
      <w:tr w:rsidR="00542BAD" w:rsidRPr="00542BAD" w:rsidTr="00542BAD">
        <w:trPr>
          <w:trHeight w:val="113"/>
        </w:trPr>
        <w:tc>
          <w:tcPr>
            <w:tcW w:w="1780" w:type="pct"/>
            <w:shd w:val="clear" w:color="000000" w:fill="DDEBF7"/>
            <w:vAlign w:val="center"/>
            <w:hideMark/>
          </w:tcPr>
          <w:p w:rsidR="00542BAD" w:rsidRPr="00542BAD" w:rsidRDefault="00542BAD" w:rsidP="00542BAD">
            <w:pPr>
              <w:spacing w:after="0" w:line="240" w:lineRule="auto"/>
              <w:rPr>
                <w:rFonts w:ascii="Sylfaen" w:eastAsia="Times New Roman" w:hAnsi="Sylfaen" w:cs="Arial"/>
                <w:b/>
                <w:bCs/>
                <w:sz w:val="18"/>
                <w:szCs w:val="18"/>
              </w:rPr>
            </w:pPr>
            <w:r w:rsidRPr="00542BAD">
              <w:rPr>
                <w:rFonts w:ascii="Sylfaen" w:eastAsia="Times New Roman" w:hAnsi="Sylfaen" w:cs="Arial"/>
                <w:b/>
                <w:bCs/>
                <w:sz w:val="18"/>
                <w:szCs w:val="18"/>
              </w:rPr>
              <w:t>ფინანსური</w:t>
            </w:r>
            <w:r w:rsidRPr="00542BAD">
              <w:rPr>
                <w:rFonts w:ascii="Arial" w:eastAsia="Times New Roman" w:hAnsi="Arial" w:cs="Arial"/>
                <w:b/>
                <w:bCs/>
                <w:sz w:val="18"/>
                <w:szCs w:val="18"/>
              </w:rPr>
              <w:t xml:space="preserve"> </w:t>
            </w:r>
            <w:r w:rsidRPr="00542BAD">
              <w:rPr>
                <w:rFonts w:ascii="Sylfaen" w:eastAsia="Times New Roman" w:hAnsi="Sylfaen" w:cs="Arial"/>
                <w:b/>
                <w:bCs/>
                <w:sz w:val="18"/>
                <w:szCs w:val="18"/>
              </w:rPr>
              <w:t>აქტივების</w:t>
            </w:r>
            <w:r w:rsidRPr="00542BAD">
              <w:rPr>
                <w:rFonts w:ascii="Arial" w:eastAsia="Times New Roman" w:hAnsi="Arial" w:cs="Arial"/>
                <w:b/>
                <w:bCs/>
                <w:sz w:val="18"/>
                <w:szCs w:val="18"/>
              </w:rPr>
              <w:t xml:space="preserve"> </w:t>
            </w:r>
            <w:r w:rsidRPr="00542BAD">
              <w:rPr>
                <w:rFonts w:ascii="Sylfaen" w:eastAsia="Times New Roman" w:hAnsi="Sylfaen" w:cs="Arial"/>
                <w:b/>
                <w:bCs/>
                <w:sz w:val="18"/>
                <w:szCs w:val="18"/>
              </w:rPr>
              <w:t>ზრდა</w:t>
            </w:r>
          </w:p>
        </w:tc>
        <w:tc>
          <w:tcPr>
            <w:tcW w:w="3220" w:type="pct"/>
            <w:gridSpan w:val="6"/>
            <w:shd w:val="clear" w:color="000000" w:fill="DDEBF7"/>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2021-2024 </w:t>
            </w:r>
            <w:r w:rsidRPr="00542BAD">
              <w:rPr>
                <w:rFonts w:ascii="Sylfaen" w:eastAsia="Times New Roman" w:hAnsi="Sylfaen" w:cs="Arial"/>
                <w:sz w:val="18"/>
                <w:szCs w:val="18"/>
              </w:rPr>
              <w:t>პროგნოზი (2020 წლის დეკემბერი)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0,5%</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0,4%</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sz w:val="18"/>
                <w:szCs w:val="18"/>
              </w:rPr>
            </w:pPr>
            <w:r w:rsidRPr="00542BAD">
              <w:rPr>
                <w:rFonts w:ascii="Arial" w:eastAsia="Times New Roman" w:hAnsi="Arial" w:cs="Arial"/>
                <w:sz w:val="18"/>
                <w:szCs w:val="18"/>
              </w:rPr>
              <w:t xml:space="preserve">2022-2025 </w:t>
            </w:r>
            <w:r w:rsidRPr="00542BAD">
              <w:rPr>
                <w:rFonts w:ascii="Sylfaen" w:eastAsia="Times New Roman" w:hAnsi="Sylfaen" w:cs="Arial"/>
                <w:sz w:val="18"/>
                <w:szCs w:val="18"/>
              </w:rPr>
              <w:t>პროგნოზი (2021 წლის ივლისი)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0,3%</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0,3%</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sz w:val="18"/>
                <w:szCs w:val="18"/>
              </w:rPr>
            </w:pPr>
            <w:r w:rsidRPr="00542BAD">
              <w:rPr>
                <w:rFonts w:ascii="Sylfaen" w:eastAsia="Times New Roman" w:hAnsi="Sylfaen" w:cs="Arial"/>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-0,2%</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0,0%</w:t>
            </w:r>
          </w:p>
        </w:tc>
        <w:tc>
          <w:tcPr>
            <w:tcW w:w="537"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8"/>
                <w:szCs w:val="18"/>
              </w:rPr>
            </w:pPr>
            <w:r w:rsidRPr="00542BAD">
              <w:rPr>
                <w:rFonts w:ascii="Arial" w:eastAsia="Times New Roman" w:hAnsi="Arial" w:cs="Arial"/>
                <w:sz w:val="18"/>
                <w:szCs w:val="18"/>
              </w:rPr>
              <w:t> </w:t>
            </w:r>
          </w:p>
        </w:tc>
      </w:tr>
      <w:tr w:rsidR="00542BAD" w:rsidRPr="00542BAD" w:rsidTr="00542BAD">
        <w:trPr>
          <w:trHeight w:val="113"/>
        </w:trPr>
        <w:tc>
          <w:tcPr>
            <w:tcW w:w="1780" w:type="pct"/>
            <w:shd w:val="clear" w:color="auto" w:fill="auto"/>
            <w:vAlign w:val="center"/>
            <w:hideMark/>
          </w:tcPr>
          <w:p w:rsidR="00542BAD" w:rsidRPr="00542BAD" w:rsidRDefault="00542BAD" w:rsidP="00542BAD">
            <w:pPr>
              <w:spacing w:after="0" w:line="240" w:lineRule="auto"/>
              <w:ind w:firstLineChars="100" w:firstLine="180"/>
              <w:rPr>
                <w:rFonts w:ascii="Arial" w:eastAsia="Times New Roman" w:hAnsi="Arial" w:cs="Arial"/>
                <w:color w:val="305496"/>
                <w:sz w:val="18"/>
                <w:szCs w:val="18"/>
              </w:rPr>
            </w:pPr>
            <w:r w:rsidRPr="00542BAD">
              <w:rPr>
                <w:rFonts w:ascii="Arial" w:eastAsia="Times New Roman" w:hAnsi="Arial" w:cs="Arial"/>
                <w:color w:val="305496"/>
                <w:sz w:val="18"/>
                <w:szCs w:val="18"/>
              </w:rPr>
              <w:t xml:space="preserve">2022-2025 </w:t>
            </w:r>
            <w:r w:rsidRPr="00542BAD">
              <w:rPr>
                <w:rFonts w:ascii="Sylfaen" w:eastAsia="Times New Roman" w:hAnsi="Sylfaen" w:cs="Arial"/>
                <w:color w:val="305496"/>
                <w:sz w:val="18"/>
                <w:szCs w:val="18"/>
              </w:rPr>
              <w:t>პროგნოზი (2021 წლის სექტემბერი)</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0,4%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0,3%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0,3%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0,4%</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0,3%</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305496"/>
                <w:sz w:val="18"/>
                <w:szCs w:val="18"/>
              </w:rPr>
            </w:pPr>
            <w:r w:rsidRPr="00542BAD">
              <w:rPr>
                <w:rFonts w:ascii="Arial" w:eastAsia="Times New Roman" w:hAnsi="Arial" w:cs="Arial"/>
                <w:color w:val="305496"/>
                <w:sz w:val="18"/>
                <w:szCs w:val="18"/>
              </w:rPr>
              <w:t>0,3%</w:t>
            </w:r>
          </w:p>
        </w:tc>
      </w:tr>
      <w:tr w:rsidR="00542BAD" w:rsidRPr="00542BAD" w:rsidTr="00542BAD">
        <w:trPr>
          <w:trHeight w:val="113"/>
        </w:trPr>
        <w:tc>
          <w:tcPr>
            <w:tcW w:w="1780" w:type="pct"/>
            <w:shd w:val="clear" w:color="auto" w:fill="auto"/>
            <w:noWrap/>
            <w:vAlign w:val="center"/>
            <w:hideMark/>
          </w:tcPr>
          <w:p w:rsidR="00542BAD" w:rsidRPr="00542BAD" w:rsidRDefault="00542BAD" w:rsidP="00542BAD">
            <w:pPr>
              <w:spacing w:after="0" w:line="240" w:lineRule="auto"/>
              <w:ind w:firstLineChars="100" w:firstLine="180"/>
              <w:rPr>
                <w:rFonts w:ascii="Sylfaen" w:eastAsia="Times New Roman" w:hAnsi="Sylfaen" w:cs="Arial"/>
                <w:i/>
                <w:iCs/>
                <w:sz w:val="18"/>
                <w:szCs w:val="18"/>
              </w:rPr>
            </w:pPr>
            <w:r w:rsidRPr="00542BAD">
              <w:rPr>
                <w:rFonts w:ascii="Sylfaen" w:eastAsia="Times New Roman" w:hAnsi="Sylfaen" w:cs="Arial"/>
                <w:i/>
                <w:iCs/>
                <w:sz w:val="18"/>
                <w:szCs w:val="18"/>
              </w:rPr>
              <w:t>ცვლილება</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-0,1%</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c>
          <w:tcPr>
            <w:tcW w:w="537"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i/>
                <w:iCs/>
                <w:sz w:val="18"/>
                <w:szCs w:val="18"/>
              </w:rPr>
            </w:pPr>
            <w:r w:rsidRPr="00542BAD">
              <w:rPr>
                <w:rFonts w:ascii="Arial" w:eastAsia="Times New Roman" w:hAnsi="Arial" w:cs="Arial"/>
                <w:i/>
                <w:iCs/>
                <w:sz w:val="18"/>
                <w:szCs w:val="18"/>
              </w:rPr>
              <w:t>0,0%</w:t>
            </w:r>
          </w:p>
        </w:tc>
      </w:tr>
    </w:tbl>
    <w:p w:rsidR="00A229BF" w:rsidRDefault="00A229BF" w:rsidP="00A229BF">
      <w:pPr>
        <w:spacing w:after="0" w:line="276" w:lineRule="auto"/>
        <w:rPr>
          <w:rFonts w:ascii="Sylfaen" w:hAnsi="Sylfaen"/>
          <w:b/>
          <w:i/>
          <w:sz w:val="20"/>
          <w:lang w:val="ka-GE"/>
        </w:rPr>
      </w:pPr>
    </w:p>
    <w:p w:rsidR="00A229BF" w:rsidRDefault="00A229BF" w:rsidP="00044987">
      <w:pPr>
        <w:spacing w:after="0" w:line="276" w:lineRule="auto"/>
        <w:jc w:val="right"/>
        <w:rPr>
          <w:rFonts w:ascii="Sylfaen" w:hAnsi="Sylfaen"/>
          <w:b/>
          <w:i/>
          <w:sz w:val="20"/>
          <w:lang w:val="ka-GE"/>
        </w:rPr>
      </w:pPr>
    </w:p>
    <w:p w:rsidR="00A229BF" w:rsidRPr="00C9780C" w:rsidRDefault="00A229BF" w:rsidP="00044987">
      <w:pPr>
        <w:spacing w:after="0" w:line="276" w:lineRule="auto"/>
        <w:jc w:val="right"/>
        <w:rPr>
          <w:rFonts w:ascii="Sylfaen" w:hAnsi="Sylfaen"/>
          <w:b/>
          <w:i/>
          <w:sz w:val="20"/>
          <w:lang w:val="ka-GE"/>
        </w:rPr>
      </w:pPr>
    </w:p>
    <w:p w:rsidR="00AD738A" w:rsidRPr="00C9780C" w:rsidRDefault="00AD738A" w:rsidP="00AD738A">
      <w:pPr>
        <w:spacing w:line="276" w:lineRule="auto"/>
        <w:jc w:val="both"/>
        <w:rPr>
          <w:rFonts w:ascii="Sylfaen" w:hAnsi="Sylfaen"/>
          <w:lang w:val="ka-GE"/>
        </w:rPr>
      </w:pPr>
    </w:p>
    <w:p w:rsidR="00A229BF" w:rsidRDefault="00A229BF">
      <w:pPr>
        <w:rPr>
          <w:rFonts w:ascii="Sylfaen" w:hAnsi="Sylfaen"/>
          <w:lang w:val="ka-GE"/>
        </w:rPr>
      </w:pPr>
      <w:r>
        <w:rPr>
          <w:rFonts w:ascii="Sylfaen" w:hAnsi="Sylfaen"/>
          <w:lang w:val="ka-GE"/>
        </w:rPr>
        <w:br w:type="page"/>
      </w:r>
    </w:p>
    <w:p w:rsidR="00585FF0" w:rsidRPr="00C9780C" w:rsidRDefault="00585FF0" w:rsidP="00AD738A">
      <w:pPr>
        <w:spacing w:line="276" w:lineRule="auto"/>
        <w:jc w:val="both"/>
        <w:rPr>
          <w:rFonts w:ascii="Sylfaen" w:hAnsi="Sylfaen"/>
          <w:lang w:val="ka-GE"/>
        </w:rPr>
      </w:pPr>
    </w:p>
    <w:p w:rsidR="0067395F" w:rsidRPr="00C9780C" w:rsidRDefault="0067395F" w:rsidP="00BC68CE">
      <w:pPr>
        <w:pStyle w:val="Heading2"/>
        <w:ind w:left="426"/>
        <w:jc w:val="both"/>
        <w:rPr>
          <w:rFonts w:ascii="Sylfaen" w:hAnsi="Sylfaen"/>
          <w:lang w:val="ka-GE"/>
        </w:rPr>
      </w:pPr>
      <w:bookmarkStart w:id="3" w:name="_Toc83927012"/>
      <w:r w:rsidRPr="00C9780C">
        <w:rPr>
          <w:rFonts w:ascii="Sylfaen" w:hAnsi="Sylfaen"/>
          <w:lang w:val="ka-GE"/>
        </w:rPr>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3"/>
      <w:r w:rsidR="00606701" w:rsidRPr="00C9780C">
        <w:rPr>
          <w:rFonts w:ascii="Sylfaen" w:hAnsi="Sylfaen"/>
          <w:lang w:val="ka-GE"/>
        </w:rPr>
        <w:t xml:space="preserve"> </w:t>
      </w:r>
    </w:p>
    <w:p w:rsidR="00606701" w:rsidRPr="00C9780C" w:rsidRDefault="00606701" w:rsidP="00606701">
      <w:pPr>
        <w:rPr>
          <w:rFonts w:ascii="Sylfaen" w:hAnsi="Sylfaen"/>
          <w:lang w:val="ka-GE"/>
        </w:rPr>
      </w:pPr>
    </w:p>
    <w:p w:rsidR="00D75C72"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საგანგებო მდგომარეობის გამოცხადებიდან გამომდინარე, საქართველოს მთავრობას მიეცა შესაძლებლობა ზემოაღნიშნული ღონისძიებების შეუფერხებელი დაფინანსების მიზნით ემოქმედა კანონმდებლობით განსაზღვრული ფისკალური პარამეტრების ზღვრების მიღმა. </w:t>
      </w:r>
    </w:p>
    <w:p w:rsidR="00AD738A" w:rsidRPr="00C9780C" w:rsidRDefault="00AD738A" w:rsidP="00334A00">
      <w:pPr>
        <w:tabs>
          <w:tab w:val="left" w:pos="90"/>
        </w:tabs>
        <w:spacing w:after="0" w:line="276" w:lineRule="auto"/>
        <w:ind w:firstLine="720"/>
        <w:jc w:val="both"/>
        <w:rPr>
          <w:rFonts w:ascii="Sylfaen" w:hAnsi="Sylfaen" w:cs="Sylfaen"/>
          <w:lang w:val="ka-GE"/>
        </w:rPr>
      </w:pPr>
      <w:r w:rsidRPr="00C9780C">
        <w:rPr>
          <w:rFonts w:ascii="Sylfaen" w:hAnsi="Sylfaen" w:cs="Sylfaen"/>
          <w:lang w:val="ka-GE"/>
        </w:rPr>
        <w:t xml:space="preserve">იმის გათვალისწინებით, რომ </w:t>
      </w:r>
      <w:r w:rsidR="00557078" w:rsidRPr="00C9780C">
        <w:rPr>
          <w:rFonts w:ascii="Sylfaen" w:hAnsi="Sylfaen" w:cs="Sylfaen"/>
          <w:lang w:val="ka-GE"/>
        </w:rPr>
        <w:t>პანდემიიდან გამომდინარე 2020 წელს ეკონომიკის კლება დაფიქსირდა, ხოლო პ</w:t>
      </w:r>
      <w:r w:rsidRPr="00C9780C">
        <w:rPr>
          <w:rFonts w:ascii="Sylfaen" w:hAnsi="Sylfaen" w:cs="Sylfaen"/>
          <w:lang w:val="ka-GE"/>
        </w:rPr>
        <w:t>ანდემიაზე რეაგირების ღონისძიებებიდან გამომდინარე გაიზარდა მიმდინარე ხარჯები, 2020 წ</w:t>
      </w:r>
      <w:r w:rsidR="00557078" w:rsidRPr="00C9780C">
        <w:rPr>
          <w:rFonts w:ascii="Sylfaen" w:hAnsi="Sylfaen" w:cs="Sylfaen"/>
          <w:lang w:val="ka-GE"/>
        </w:rPr>
        <w:t>ე</w:t>
      </w:r>
      <w:r w:rsidRPr="00C9780C">
        <w:rPr>
          <w:rFonts w:ascii="Sylfaen" w:hAnsi="Sylfaen" w:cs="Sylfaen"/>
          <w:lang w:val="ka-GE"/>
        </w:rPr>
        <w:t>ლს სახელმწიფოს ერთიანი ბიუჯეტის დეფიციტ</w:t>
      </w:r>
      <w:r w:rsidR="00557078" w:rsidRPr="00C9780C">
        <w:rPr>
          <w:rFonts w:ascii="Sylfaen" w:hAnsi="Sylfaen" w:cs="Sylfaen"/>
          <w:lang w:val="ka-GE"/>
        </w:rPr>
        <w:t>მა შეადგინა</w:t>
      </w:r>
      <w:r w:rsidRPr="00C9780C">
        <w:rPr>
          <w:rFonts w:ascii="Sylfaen" w:hAnsi="Sylfaen" w:cs="Sylfaen"/>
          <w:lang w:val="ka-GE"/>
        </w:rPr>
        <w:t xml:space="preserve">  მშპ-ის </w:t>
      </w:r>
      <w:r w:rsidR="00B453B3">
        <w:rPr>
          <w:rFonts w:ascii="Sylfaen" w:hAnsi="Sylfaen" w:cs="Sylfaen"/>
          <w:lang w:val="ka-GE"/>
        </w:rPr>
        <w:t>8.5</w:t>
      </w:r>
      <w:r w:rsidR="00557078" w:rsidRPr="00C9780C">
        <w:rPr>
          <w:rFonts w:ascii="Sylfaen" w:hAnsi="Sylfaen" w:cs="Sylfaen"/>
          <w:lang w:val="ka-GE"/>
        </w:rPr>
        <w:t xml:space="preserve">%, ხოლო 2021 წელი დაიგეგმა 7.7%-ის ფარგლებში. 2021 წლის სახელმწიფო ბიუჯეტის კანონის პროექტზე თანდართული პროგნოზები ითვალისწინებდა </w:t>
      </w:r>
      <w:r w:rsidRPr="00C9780C">
        <w:rPr>
          <w:rFonts w:ascii="Sylfaen" w:hAnsi="Sylfaen" w:cs="Sylfaen"/>
          <w:lang w:val="ka-GE"/>
        </w:rPr>
        <w:t xml:space="preserve">2023 წლისათვის „ეკონომიკური </w:t>
      </w:r>
      <w:r w:rsidR="00BC68CE" w:rsidRPr="00C9780C">
        <w:rPr>
          <w:rFonts w:ascii="Sylfaen" w:hAnsi="Sylfaen" w:cs="Sylfaen"/>
          <w:lang w:val="ka-GE"/>
        </w:rPr>
        <w:t>თავის</w:t>
      </w:r>
      <w:r w:rsidRPr="00C9780C">
        <w:rPr>
          <w:rFonts w:ascii="Sylfaen" w:hAnsi="Sylfaen" w:cs="Sylfaen"/>
          <w:lang w:val="ka-GE"/>
        </w:rPr>
        <w:t>უ</w:t>
      </w:r>
      <w:r w:rsidR="00BC68CE" w:rsidRPr="00C9780C">
        <w:rPr>
          <w:rFonts w:ascii="Sylfaen" w:hAnsi="Sylfaen" w:cs="Sylfaen"/>
          <w:lang w:val="ka-GE"/>
        </w:rPr>
        <w:t>ფ</w:t>
      </w:r>
      <w:r w:rsidRPr="00C9780C">
        <w:rPr>
          <w:rFonts w:ascii="Sylfaen" w:hAnsi="Sylfaen" w:cs="Sylfaen"/>
          <w:lang w:val="ka-GE"/>
        </w:rPr>
        <w:t>ლების შესახებ“ საქართველოს ორგანული კანონით გათვალისწინებულ</w:t>
      </w:r>
      <w:r w:rsidR="00557078" w:rsidRPr="00C9780C">
        <w:rPr>
          <w:rFonts w:ascii="Sylfaen" w:hAnsi="Sylfaen" w:cs="Sylfaen"/>
          <w:lang w:val="ka-GE"/>
        </w:rPr>
        <w:t xml:space="preserve"> ნიშნულზე (3%) ჩამოსვლას და განსაზღვრული იყო</w:t>
      </w:r>
      <w:r w:rsidRPr="00C9780C">
        <w:rPr>
          <w:rFonts w:ascii="Sylfaen" w:hAnsi="Sylfaen" w:cs="Sylfaen"/>
          <w:lang w:val="ka-GE"/>
        </w:rPr>
        <w:t xml:space="preserve"> </w:t>
      </w:r>
      <w:r w:rsidR="004A237E" w:rsidRPr="00C9780C">
        <w:rPr>
          <w:rFonts w:ascii="Sylfaen" w:hAnsi="Sylfaen" w:cs="Sylfaen"/>
          <w:lang w:val="ka-GE"/>
        </w:rPr>
        <w:t>2.9</w:t>
      </w:r>
      <w:r w:rsidRPr="00C9780C">
        <w:rPr>
          <w:rFonts w:ascii="Sylfaen" w:hAnsi="Sylfaen" w:cs="Sylfaen"/>
          <w:lang w:val="ka-GE"/>
        </w:rPr>
        <w:t>%</w:t>
      </w:r>
      <w:r w:rsidR="00557078" w:rsidRPr="00C9780C">
        <w:rPr>
          <w:rFonts w:ascii="Sylfaen" w:hAnsi="Sylfaen" w:cs="Sylfaen"/>
          <w:lang w:val="ka-GE"/>
        </w:rPr>
        <w:t>.</w:t>
      </w:r>
    </w:p>
    <w:p w:rsidR="00A344A4" w:rsidRPr="00C9780C" w:rsidRDefault="0005717F" w:rsidP="00AD738A">
      <w:pPr>
        <w:tabs>
          <w:tab w:val="left" w:pos="90"/>
        </w:tabs>
        <w:spacing w:after="120" w:line="276" w:lineRule="auto"/>
        <w:ind w:firstLine="720"/>
        <w:jc w:val="both"/>
        <w:rPr>
          <w:rFonts w:ascii="Sylfaen" w:hAnsi="Sylfaen" w:cs="Sylfaen"/>
          <w:lang w:val="ka-GE"/>
        </w:rPr>
      </w:pPr>
      <w:r w:rsidRPr="00C9780C">
        <w:rPr>
          <w:rFonts w:ascii="Sylfaen" w:hAnsi="Sylfaen" w:cs="Sylfaen"/>
          <w:lang w:val="ka-GE"/>
        </w:rPr>
        <w:t>2021 წლიდან ეკონომიკური ზრდის პროგნოზირებულზე სწრაფი აღდგენიდან გამომდინარე, შესაძლებელი გახდა დეფიციტის კანონმდებლობით დადგენილ ზღვრებში ჩამოსვლა უფრო თანაბარი ტემპით განხორციელდეს. 2021 წელს სახელმწიფოს ერთიანი ბიუჯეტის დეფიციტი მცირდება 7.7%-დან 6.</w:t>
      </w:r>
      <w:r w:rsidR="00B453B3">
        <w:rPr>
          <w:rFonts w:ascii="Sylfaen" w:hAnsi="Sylfaen" w:cs="Sylfaen"/>
          <w:lang w:val="ka-GE"/>
        </w:rPr>
        <w:t>8</w:t>
      </w:r>
      <w:r w:rsidRPr="00C9780C">
        <w:rPr>
          <w:rFonts w:ascii="Sylfaen" w:hAnsi="Sylfaen" w:cs="Sylfaen"/>
          <w:lang w:val="ka-GE"/>
        </w:rPr>
        <w:t>%-მდე, ხოლო 2023 წლისათვის ჩამოდის 2.8%-მდე.</w:t>
      </w:r>
    </w:p>
    <w:p w:rsidR="00044987" w:rsidRPr="00334A00" w:rsidRDefault="00334A00" w:rsidP="008E75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both"/>
        <w:rPr>
          <w:rFonts w:ascii="Sylfaen" w:hAnsi="Sylfaen" w:cs="Sylfaen"/>
          <w:b/>
          <w:bCs/>
          <w:noProof/>
          <w:sz w:val="20"/>
          <w:szCs w:val="20"/>
          <w:lang w:val="ka-GE"/>
        </w:rPr>
      </w:pPr>
      <w:r w:rsidRPr="00334A00">
        <w:rPr>
          <w:rFonts w:ascii="Sylfaen" w:hAnsi="Sylfaen" w:cs="Sylfaen"/>
          <w:b/>
          <w:bCs/>
          <w:noProof/>
          <w:sz w:val="20"/>
          <w:szCs w:val="20"/>
          <w:lang w:val="ka-GE"/>
        </w:rPr>
        <w:t>ცხრილი №8</w:t>
      </w:r>
      <w:r w:rsidR="00044987" w:rsidRPr="00334A00">
        <w:rPr>
          <w:rFonts w:ascii="Sylfaen" w:hAnsi="Sylfaen" w:cs="Sylfaen"/>
          <w:b/>
          <w:bCs/>
          <w:noProof/>
          <w:sz w:val="20"/>
          <w:szCs w:val="20"/>
          <w:lang w:val="ka-GE"/>
        </w:rPr>
        <w:t xml:space="preserve"> - </w:t>
      </w:r>
      <w:r w:rsidR="008E75CE" w:rsidRPr="00334A00">
        <w:rPr>
          <w:rFonts w:ascii="Sylfaen" w:hAnsi="Sylfaen" w:cs="Sylfaen"/>
          <w:b/>
          <w:bCs/>
          <w:noProof/>
          <w:sz w:val="20"/>
          <w:szCs w:val="20"/>
          <w:lang w:val="ka-GE"/>
        </w:rPr>
        <w:t>კანონმდებლობით გათვალისწინებულ ზღვრულ პარამეტრებში დაბრუნების პროგნოზი</w:t>
      </w:r>
      <w:r w:rsidR="00542BAD">
        <w:rPr>
          <w:rFonts w:ascii="Sylfaen" w:hAnsi="Sylfaen" w:cs="Sylfaen"/>
          <w:b/>
          <w:bCs/>
          <w:noProof/>
          <w:sz w:val="20"/>
          <w:szCs w:val="20"/>
          <w:lang w:val="ka-GE"/>
        </w:rPr>
        <w:t xml:space="preserve"> (მშპ-თან პროცენტი)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522"/>
        <w:gridCol w:w="1062"/>
        <w:gridCol w:w="1062"/>
        <w:gridCol w:w="1062"/>
        <w:gridCol w:w="1062"/>
        <w:gridCol w:w="1062"/>
        <w:gridCol w:w="1058"/>
      </w:tblGrid>
      <w:tr w:rsidR="00A229BF" w:rsidRPr="00A229BF" w:rsidTr="00542BAD">
        <w:trPr>
          <w:trHeight w:val="300"/>
        </w:trPr>
        <w:tc>
          <w:tcPr>
            <w:tcW w:w="1780" w:type="pct"/>
            <w:shd w:val="clear" w:color="auto" w:fill="auto"/>
            <w:noWrap/>
            <w:vAlign w:val="center"/>
            <w:hideMark/>
          </w:tcPr>
          <w:p w:rsidR="00A229BF" w:rsidRPr="00A229BF" w:rsidRDefault="00A229BF" w:rsidP="00A229BF">
            <w:pPr>
              <w:spacing w:after="0" w:line="240" w:lineRule="auto"/>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vAlign w:val="center"/>
            <w:hideMark/>
          </w:tcPr>
          <w:p w:rsidR="00A229BF" w:rsidRPr="00A229BF" w:rsidRDefault="00A229BF" w:rsidP="00A229BF">
            <w:pPr>
              <w:spacing w:after="0" w:line="240" w:lineRule="auto"/>
              <w:jc w:val="center"/>
              <w:rPr>
                <w:rFonts w:ascii="Arial" w:eastAsia="Times New Roman" w:hAnsi="Arial" w:cs="Arial"/>
                <w:b/>
                <w:bCs/>
                <w:color w:val="000000"/>
                <w:sz w:val="20"/>
                <w:szCs w:val="20"/>
              </w:rPr>
            </w:pPr>
            <w:r w:rsidRPr="00A229BF">
              <w:rPr>
                <w:rFonts w:ascii="Arial" w:eastAsia="Times New Roman" w:hAnsi="Arial" w:cs="Arial"/>
                <w:b/>
                <w:bCs/>
                <w:color w:val="000000"/>
                <w:sz w:val="20"/>
                <w:szCs w:val="20"/>
              </w:rPr>
              <w:t xml:space="preserve">2020 </w:t>
            </w:r>
            <w:r w:rsidRPr="00A229BF">
              <w:rPr>
                <w:rFonts w:ascii="Sylfaen" w:eastAsia="Times New Roman" w:hAnsi="Sylfaen" w:cs="Arial"/>
                <w:b/>
                <w:bCs/>
                <w:color w:val="000000"/>
                <w:sz w:val="20"/>
                <w:szCs w:val="20"/>
              </w:rPr>
              <w:t>წელი</w:t>
            </w:r>
          </w:p>
        </w:tc>
        <w:tc>
          <w:tcPr>
            <w:tcW w:w="537" w:type="pct"/>
            <w:shd w:val="clear" w:color="auto" w:fill="auto"/>
            <w:vAlign w:val="center"/>
            <w:hideMark/>
          </w:tcPr>
          <w:p w:rsidR="00A229BF" w:rsidRPr="00A229BF" w:rsidRDefault="00A229BF" w:rsidP="00A229BF">
            <w:pPr>
              <w:spacing w:after="0" w:line="240" w:lineRule="auto"/>
              <w:jc w:val="center"/>
              <w:rPr>
                <w:rFonts w:ascii="Arial" w:eastAsia="Times New Roman" w:hAnsi="Arial" w:cs="Arial"/>
                <w:b/>
                <w:bCs/>
                <w:color w:val="000000"/>
                <w:sz w:val="20"/>
                <w:szCs w:val="20"/>
              </w:rPr>
            </w:pPr>
            <w:r w:rsidRPr="00A229BF">
              <w:rPr>
                <w:rFonts w:ascii="Arial" w:eastAsia="Times New Roman" w:hAnsi="Arial" w:cs="Arial"/>
                <w:b/>
                <w:bCs/>
                <w:color w:val="000000"/>
                <w:sz w:val="20"/>
                <w:szCs w:val="20"/>
              </w:rPr>
              <w:t xml:space="preserve">2021 </w:t>
            </w:r>
            <w:r w:rsidRPr="00A229BF">
              <w:rPr>
                <w:rFonts w:ascii="Sylfaen" w:eastAsia="Times New Roman" w:hAnsi="Sylfaen" w:cs="Arial"/>
                <w:b/>
                <w:bCs/>
                <w:color w:val="000000"/>
                <w:sz w:val="20"/>
                <w:szCs w:val="20"/>
              </w:rPr>
              <w:t>წელი</w:t>
            </w:r>
          </w:p>
        </w:tc>
        <w:tc>
          <w:tcPr>
            <w:tcW w:w="537" w:type="pct"/>
            <w:shd w:val="clear" w:color="auto" w:fill="auto"/>
            <w:vAlign w:val="center"/>
            <w:hideMark/>
          </w:tcPr>
          <w:p w:rsidR="00A229BF" w:rsidRPr="00A229BF" w:rsidRDefault="00A229BF" w:rsidP="00A229BF">
            <w:pPr>
              <w:spacing w:after="0" w:line="240" w:lineRule="auto"/>
              <w:jc w:val="center"/>
              <w:rPr>
                <w:rFonts w:ascii="Arial" w:eastAsia="Times New Roman" w:hAnsi="Arial" w:cs="Arial"/>
                <w:b/>
                <w:bCs/>
                <w:color w:val="000000"/>
                <w:sz w:val="20"/>
                <w:szCs w:val="20"/>
              </w:rPr>
            </w:pPr>
            <w:r w:rsidRPr="00A229BF">
              <w:rPr>
                <w:rFonts w:ascii="Arial" w:eastAsia="Times New Roman" w:hAnsi="Arial" w:cs="Arial"/>
                <w:b/>
                <w:bCs/>
                <w:color w:val="000000"/>
                <w:sz w:val="20"/>
                <w:szCs w:val="20"/>
              </w:rPr>
              <w:t xml:space="preserve">2022 </w:t>
            </w:r>
            <w:r w:rsidRPr="00A229BF">
              <w:rPr>
                <w:rFonts w:ascii="Sylfaen" w:eastAsia="Times New Roman" w:hAnsi="Sylfaen" w:cs="Arial"/>
                <w:b/>
                <w:bCs/>
                <w:color w:val="000000"/>
                <w:sz w:val="20"/>
                <w:szCs w:val="20"/>
              </w:rPr>
              <w:t>წელი</w:t>
            </w:r>
          </w:p>
        </w:tc>
        <w:tc>
          <w:tcPr>
            <w:tcW w:w="537" w:type="pct"/>
            <w:shd w:val="clear" w:color="auto" w:fill="auto"/>
            <w:vAlign w:val="center"/>
            <w:hideMark/>
          </w:tcPr>
          <w:p w:rsidR="00A229BF" w:rsidRPr="00A229BF" w:rsidRDefault="00A229BF" w:rsidP="00A229BF">
            <w:pPr>
              <w:spacing w:after="0" w:line="240" w:lineRule="auto"/>
              <w:jc w:val="center"/>
              <w:rPr>
                <w:rFonts w:ascii="Arial" w:eastAsia="Times New Roman" w:hAnsi="Arial" w:cs="Arial"/>
                <w:b/>
                <w:bCs/>
                <w:color w:val="000000"/>
                <w:sz w:val="20"/>
                <w:szCs w:val="20"/>
              </w:rPr>
            </w:pPr>
            <w:r w:rsidRPr="00A229BF">
              <w:rPr>
                <w:rFonts w:ascii="Arial" w:eastAsia="Times New Roman" w:hAnsi="Arial" w:cs="Arial"/>
                <w:b/>
                <w:bCs/>
                <w:color w:val="000000"/>
                <w:sz w:val="20"/>
                <w:szCs w:val="20"/>
              </w:rPr>
              <w:t xml:space="preserve">2023 </w:t>
            </w:r>
            <w:r w:rsidRPr="00A229BF">
              <w:rPr>
                <w:rFonts w:ascii="Sylfaen" w:eastAsia="Times New Roman" w:hAnsi="Sylfaen" w:cs="Arial"/>
                <w:b/>
                <w:bCs/>
                <w:color w:val="000000"/>
                <w:sz w:val="20"/>
                <w:szCs w:val="20"/>
              </w:rPr>
              <w:t>წელი</w:t>
            </w:r>
          </w:p>
        </w:tc>
        <w:tc>
          <w:tcPr>
            <w:tcW w:w="537" w:type="pct"/>
            <w:shd w:val="clear" w:color="auto" w:fill="auto"/>
            <w:vAlign w:val="center"/>
            <w:hideMark/>
          </w:tcPr>
          <w:p w:rsidR="00A229BF" w:rsidRPr="00A229BF" w:rsidRDefault="00A229BF" w:rsidP="00A229BF">
            <w:pPr>
              <w:spacing w:after="0" w:line="240" w:lineRule="auto"/>
              <w:jc w:val="center"/>
              <w:rPr>
                <w:rFonts w:ascii="Arial" w:eastAsia="Times New Roman" w:hAnsi="Arial" w:cs="Arial"/>
                <w:b/>
                <w:bCs/>
                <w:color w:val="000000"/>
                <w:sz w:val="20"/>
                <w:szCs w:val="20"/>
              </w:rPr>
            </w:pPr>
            <w:r w:rsidRPr="00A229BF">
              <w:rPr>
                <w:rFonts w:ascii="Arial" w:eastAsia="Times New Roman" w:hAnsi="Arial" w:cs="Arial"/>
                <w:b/>
                <w:bCs/>
                <w:color w:val="000000"/>
                <w:sz w:val="20"/>
                <w:szCs w:val="20"/>
              </w:rPr>
              <w:t xml:space="preserve">2024 </w:t>
            </w:r>
            <w:r w:rsidRPr="00A229BF">
              <w:rPr>
                <w:rFonts w:ascii="Sylfaen" w:eastAsia="Times New Roman" w:hAnsi="Sylfaen" w:cs="Arial"/>
                <w:b/>
                <w:bCs/>
                <w:color w:val="000000"/>
                <w:sz w:val="20"/>
                <w:szCs w:val="20"/>
              </w:rPr>
              <w:t>წელი</w:t>
            </w:r>
          </w:p>
        </w:tc>
        <w:tc>
          <w:tcPr>
            <w:tcW w:w="537" w:type="pct"/>
            <w:shd w:val="clear" w:color="auto" w:fill="auto"/>
            <w:vAlign w:val="center"/>
            <w:hideMark/>
          </w:tcPr>
          <w:p w:rsidR="00A229BF" w:rsidRPr="00A229BF" w:rsidRDefault="00A229BF" w:rsidP="00A229BF">
            <w:pPr>
              <w:spacing w:after="0" w:line="240" w:lineRule="auto"/>
              <w:jc w:val="center"/>
              <w:rPr>
                <w:rFonts w:ascii="Arial" w:eastAsia="Times New Roman" w:hAnsi="Arial" w:cs="Arial"/>
                <w:b/>
                <w:bCs/>
                <w:color w:val="000000"/>
                <w:sz w:val="20"/>
                <w:szCs w:val="20"/>
              </w:rPr>
            </w:pPr>
            <w:r w:rsidRPr="00A229BF">
              <w:rPr>
                <w:rFonts w:ascii="Arial" w:eastAsia="Times New Roman" w:hAnsi="Arial" w:cs="Arial"/>
                <w:b/>
                <w:bCs/>
                <w:color w:val="000000"/>
                <w:sz w:val="20"/>
                <w:szCs w:val="20"/>
              </w:rPr>
              <w:t xml:space="preserve">2025 </w:t>
            </w:r>
            <w:r w:rsidRPr="00A229BF">
              <w:rPr>
                <w:rFonts w:ascii="Sylfaen" w:eastAsia="Times New Roman" w:hAnsi="Sylfaen" w:cs="Sylfaen"/>
                <w:b/>
                <w:bCs/>
                <w:color w:val="000000"/>
                <w:sz w:val="20"/>
                <w:szCs w:val="20"/>
              </w:rPr>
              <w:t>წელი</w:t>
            </w:r>
          </w:p>
        </w:tc>
      </w:tr>
      <w:tr w:rsidR="00A229BF" w:rsidRPr="00A229BF" w:rsidTr="00542BAD">
        <w:trPr>
          <w:trHeight w:val="900"/>
        </w:trPr>
        <w:tc>
          <w:tcPr>
            <w:tcW w:w="1780" w:type="pct"/>
            <w:shd w:val="clear" w:color="auto" w:fill="auto"/>
            <w:vAlign w:val="center"/>
            <w:hideMark/>
          </w:tcPr>
          <w:p w:rsidR="00A229BF" w:rsidRPr="00A229BF" w:rsidRDefault="00A229BF" w:rsidP="00A229BF">
            <w:pPr>
              <w:spacing w:after="0" w:line="240" w:lineRule="auto"/>
              <w:rPr>
                <w:rFonts w:ascii="Sylfaen" w:eastAsia="Times New Roman" w:hAnsi="Sylfaen" w:cs="Arial"/>
                <w:b/>
                <w:bCs/>
                <w:color w:val="000000"/>
                <w:sz w:val="20"/>
                <w:szCs w:val="20"/>
              </w:rPr>
            </w:pPr>
            <w:r w:rsidRPr="00A229BF">
              <w:rPr>
                <w:rFonts w:ascii="Sylfaen" w:eastAsia="Times New Roman" w:hAnsi="Sylfaen" w:cs="Arial"/>
                <w:b/>
                <w:bCs/>
                <w:color w:val="000000"/>
                <w:sz w:val="20"/>
                <w:szCs w:val="20"/>
              </w:rPr>
              <w:t>არადეფიციტური შემოსულობები (შემოსავლები + არაფინანსური აქტივების კლება)</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25,5%</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25,8%</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25,9%</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25,9%</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25,8%</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25,7%</w:t>
            </w:r>
          </w:p>
        </w:tc>
      </w:tr>
      <w:tr w:rsidR="00A229BF" w:rsidRPr="00A229BF" w:rsidTr="00542BAD">
        <w:trPr>
          <w:trHeight w:val="300"/>
        </w:trPr>
        <w:tc>
          <w:tcPr>
            <w:tcW w:w="1780" w:type="pct"/>
            <w:shd w:val="clear" w:color="auto" w:fill="auto"/>
            <w:vAlign w:val="center"/>
            <w:hideMark/>
          </w:tcPr>
          <w:p w:rsidR="00A229BF" w:rsidRPr="00A229BF" w:rsidRDefault="00A229BF" w:rsidP="00A229BF">
            <w:pPr>
              <w:spacing w:after="0" w:line="240" w:lineRule="auto"/>
              <w:rPr>
                <w:rFonts w:ascii="Arial" w:eastAsia="Times New Roman" w:hAnsi="Arial" w:cs="Arial"/>
                <w:i/>
                <w:iCs/>
                <w:color w:val="000000"/>
                <w:sz w:val="20"/>
                <w:szCs w:val="20"/>
              </w:rPr>
            </w:pP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სხვაობა</w:t>
            </w: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წინა</w:t>
            </w: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წელთან</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B453B3" w:rsidP="00A229B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w:t>
            </w:r>
            <w:r w:rsidR="00A229BF" w:rsidRPr="00A229BF">
              <w:rPr>
                <w:rFonts w:ascii="Arial" w:eastAsia="Times New Roman" w:hAnsi="Arial" w:cs="Arial"/>
                <w:color w:val="000000"/>
                <w:sz w:val="20"/>
                <w:szCs w:val="20"/>
              </w:rPr>
              <w:t>%</w:t>
            </w:r>
          </w:p>
        </w:tc>
        <w:tc>
          <w:tcPr>
            <w:tcW w:w="537" w:type="pct"/>
            <w:shd w:val="clear" w:color="auto" w:fill="auto"/>
            <w:noWrap/>
            <w:vAlign w:val="center"/>
            <w:hideMark/>
          </w:tcPr>
          <w:p w:rsidR="00A229BF" w:rsidRPr="00A229BF" w:rsidRDefault="00B453B3" w:rsidP="00A229B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w:t>
            </w:r>
            <w:r w:rsidR="00A229BF" w:rsidRPr="00A229BF">
              <w:rPr>
                <w:rFonts w:ascii="Arial" w:eastAsia="Times New Roman" w:hAnsi="Arial" w:cs="Arial"/>
                <w:color w:val="000000"/>
                <w:sz w:val="20"/>
                <w:szCs w:val="20"/>
              </w:rPr>
              <w:t>%</w:t>
            </w:r>
          </w:p>
        </w:tc>
        <w:tc>
          <w:tcPr>
            <w:tcW w:w="537" w:type="pct"/>
            <w:shd w:val="clear" w:color="auto" w:fill="auto"/>
            <w:noWrap/>
            <w:vAlign w:val="center"/>
            <w:hideMark/>
          </w:tcPr>
          <w:p w:rsidR="00A229BF" w:rsidRPr="00A229BF" w:rsidRDefault="00A229BF" w:rsidP="00B453B3">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-0,</w:t>
            </w:r>
            <w:r w:rsidR="00B453B3" w:rsidRPr="00A229BF">
              <w:rPr>
                <w:rFonts w:ascii="Arial" w:eastAsia="Times New Roman" w:hAnsi="Arial" w:cs="Arial"/>
                <w:color w:val="000000"/>
                <w:sz w:val="20"/>
                <w:szCs w:val="20"/>
              </w:rPr>
              <w:t>0</w:t>
            </w:r>
            <w:r w:rsidRPr="00A229BF">
              <w:rPr>
                <w:rFonts w:ascii="Arial" w:eastAsia="Times New Roman" w:hAnsi="Arial" w:cs="Arial"/>
                <w:color w:val="000000"/>
                <w:sz w:val="20"/>
                <w:szCs w:val="20"/>
              </w:rPr>
              <w:t>%</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-0,1%</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r>
      <w:tr w:rsidR="00A229BF" w:rsidRPr="00A229BF" w:rsidTr="00542BAD">
        <w:trPr>
          <w:trHeight w:val="255"/>
        </w:trPr>
        <w:tc>
          <w:tcPr>
            <w:tcW w:w="1780" w:type="pct"/>
            <w:shd w:val="clear" w:color="auto" w:fill="auto"/>
            <w:noWrap/>
            <w:vAlign w:val="center"/>
            <w:hideMark/>
          </w:tcPr>
          <w:p w:rsidR="00A229BF" w:rsidRPr="00A229BF" w:rsidRDefault="00A229BF" w:rsidP="00A229BF">
            <w:pPr>
              <w:spacing w:after="0" w:line="240" w:lineRule="auto"/>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r>
      <w:tr w:rsidR="00A229BF" w:rsidRPr="00A229BF" w:rsidTr="00542BAD">
        <w:trPr>
          <w:trHeight w:val="300"/>
        </w:trPr>
        <w:tc>
          <w:tcPr>
            <w:tcW w:w="1780" w:type="pct"/>
            <w:shd w:val="clear" w:color="auto" w:fill="auto"/>
            <w:noWrap/>
            <w:vAlign w:val="center"/>
            <w:hideMark/>
          </w:tcPr>
          <w:p w:rsidR="00A229BF" w:rsidRPr="00A229BF" w:rsidRDefault="00A229BF" w:rsidP="00A229BF">
            <w:pPr>
              <w:spacing w:after="0" w:line="240" w:lineRule="auto"/>
              <w:rPr>
                <w:rFonts w:ascii="Sylfaen" w:eastAsia="Times New Roman" w:hAnsi="Sylfaen" w:cs="Arial"/>
                <w:b/>
                <w:bCs/>
                <w:color w:val="000000"/>
                <w:sz w:val="20"/>
                <w:szCs w:val="20"/>
              </w:rPr>
            </w:pPr>
            <w:r w:rsidRPr="00A229BF">
              <w:rPr>
                <w:rFonts w:ascii="Sylfaen" w:eastAsia="Times New Roman" w:hAnsi="Sylfaen" w:cs="Arial"/>
                <w:b/>
                <w:bCs/>
                <w:color w:val="000000"/>
                <w:sz w:val="20"/>
                <w:szCs w:val="20"/>
              </w:rPr>
              <w:t>ხარჯები</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26,2%</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24,7%</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22,0%</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22,0%</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21,6%</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21,3%</w:t>
            </w:r>
          </w:p>
        </w:tc>
      </w:tr>
      <w:tr w:rsidR="00A229BF" w:rsidRPr="00A229BF" w:rsidTr="00542BAD">
        <w:trPr>
          <w:trHeight w:val="300"/>
        </w:trPr>
        <w:tc>
          <w:tcPr>
            <w:tcW w:w="1780" w:type="pct"/>
            <w:shd w:val="clear" w:color="auto" w:fill="auto"/>
            <w:vAlign w:val="center"/>
            <w:hideMark/>
          </w:tcPr>
          <w:p w:rsidR="00A229BF" w:rsidRPr="00A229BF" w:rsidRDefault="00A229BF" w:rsidP="00A229BF">
            <w:pPr>
              <w:spacing w:after="0" w:line="240" w:lineRule="auto"/>
              <w:rPr>
                <w:rFonts w:ascii="Arial" w:eastAsia="Times New Roman" w:hAnsi="Arial" w:cs="Arial"/>
                <w:i/>
                <w:iCs/>
                <w:color w:val="000000"/>
                <w:sz w:val="20"/>
                <w:szCs w:val="20"/>
              </w:rPr>
            </w:pP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სხვაობა</w:t>
            </w: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წინა</w:t>
            </w: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წელთან</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-1,6%</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-2,7%</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0,0%</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-0,4%</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r>
      <w:tr w:rsidR="00A229BF" w:rsidRPr="00A229BF" w:rsidTr="00542BAD">
        <w:trPr>
          <w:trHeight w:val="255"/>
        </w:trPr>
        <w:tc>
          <w:tcPr>
            <w:tcW w:w="1780" w:type="pct"/>
            <w:shd w:val="clear" w:color="auto" w:fill="auto"/>
            <w:noWrap/>
            <w:vAlign w:val="center"/>
            <w:hideMark/>
          </w:tcPr>
          <w:p w:rsidR="00A229BF" w:rsidRPr="00A229BF" w:rsidRDefault="00A229BF" w:rsidP="00A229BF">
            <w:pPr>
              <w:spacing w:after="0" w:line="240" w:lineRule="auto"/>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r>
      <w:tr w:rsidR="00A229BF" w:rsidRPr="00A229BF" w:rsidTr="00542BAD">
        <w:trPr>
          <w:trHeight w:val="300"/>
        </w:trPr>
        <w:tc>
          <w:tcPr>
            <w:tcW w:w="1780" w:type="pct"/>
            <w:shd w:val="clear" w:color="auto" w:fill="auto"/>
            <w:noWrap/>
            <w:vAlign w:val="center"/>
            <w:hideMark/>
          </w:tcPr>
          <w:p w:rsidR="00A229BF" w:rsidRPr="00A229BF" w:rsidRDefault="00A229BF" w:rsidP="00A229BF">
            <w:pPr>
              <w:spacing w:after="0" w:line="240" w:lineRule="auto"/>
              <w:rPr>
                <w:rFonts w:ascii="Sylfaen" w:eastAsia="Times New Roman" w:hAnsi="Sylfaen" w:cs="Arial"/>
                <w:b/>
                <w:bCs/>
                <w:color w:val="000000"/>
                <w:sz w:val="20"/>
                <w:szCs w:val="20"/>
              </w:rPr>
            </w:pPr>
            <w:r w:rsidRPr="00A229BF">
              <w:rPr>
                <w:rFonts w:ascii="Sylfaen" w:eastAsia="Times New Roman" w:hAnsi="Sylfaen" w:cs="Arial"/>
                <w:b/>
                <w:bCs/>
                <w:color w:val="000000"/>
                <w:sz w:val="20"/>
                <w:szCs w:val="20"/>
              </w:rPr>
              <w:t>არაფინანსური</w:t>
            </w:r>
            <w:r w:rsidRPr="00A229BF">
              <w:rPr>
                <w:rFonts w:ascii="Arial" w:eastAsia="Times New Roman" w:hAnsi="Arial" w:cs="Arial"/>
                <w:b/>
                <w:bCs/>
                <w:color w:val="000000"/>
                <w:sz w:val="20"/>
                <w:szCs w:val="20"/>
              </w:rPr>
              <w:t xml:space="preserve"> </w:t>
            </w:r>
            <w:r w:rsidRPr="00A229BF">
              <w:rPr>
                <w:rFonts w:ascii="Sylfaen" w:eastAsia="Times New Roman" w:hAnsi="Sylfaen" w:cs="Arial"/>
                <w:b/>
                <w:bCs/>
                <w:color w:val="000000"/>
                <w:sz w:val="20"/>
                <w:szCs w:val="20"/>
              </w:rPr>
              <w:t>აქტივების</w:t>
            </w:r>
            <w:r w:rsidRPr="00A229BF">
              <w:rPr>
                <w:rFonts w:ascii="Arial" w:eastAsia="Times New Roman" w:hAnsi="Arial" w:cs="Arial"/>
                <w:b/>
                <w:bCs/>
                <w:color w:val="000000"/>
                <w:sz w:val="20"/>
                <w:szCs w:val="20"/>
              </w:rPr>
              <w:t xml:space="preserve"> </w:t>
            </w:r>
            <w:r w:rsidRPr="00A229BF">
              <w:rPr>
                <w:rFonts w:ascii="Sylfaen" w:eastAsia="Times New Roman" w:hAnsi="Sylfaen" w:cs="Arial"/>
                <w:b/>
                <w:bCs/>
                <w:color w:val="000000"/>
                <w:sz w:val="20"/>
                <w:szCs w:val="20"/>
              </w:rPr>
              <w:t>ზრდა</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8,6%</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7,9%</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8,2%</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6,6%</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6,8%</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6,8%</w:t>
            </w:r>
          </w:p>
        </w:tc>
      </w:tr>
      <w:tr w:rsidR="00A229BF" w:rsidRPr="00A229BF" w:rsidTr="00542BAD">
        <w:trPr>
          <w:trHeight w:val="300"/>
        </w:trPr>
        <w:tc>
          <w:tcPr>
            <w:tcW w:w="1780" w:type="pct"/>
            <w:shd w:val="clear" w:color="auto" w:fill="auto"/>
            <w:vAlign w:val="center"/>
            <w:hideMark/>
          </w:tcPr>
          <w:p w:rsidR="00A229BF" w:rsidRPr="00A229BF" w:rsidRDefault="00A229BF" w:rsidP="00A229BF">
            <w:pPr>
              <w:spacing w:after="0" w:line="240" w:lineRule="auto"/>
              <w:rPr>
                <w:rFonts w:ascii="Arial" w:eastAsia="Times New Roman" w:hAnsi="Arial" w:cs="Arial"/>
                <w:i/>
                <w:iCs/>
                <w:color w:val="000000"/>
                <w:sz w:val="20"/>
                <w:szCs w:val="20"/>
              </w:rPr>
            </w:pP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სხვაობა</w:t>
            </w: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წინა</w:t>
            </w: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წელთან</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-0,7%</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0,3%</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-1,6%</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0,1%</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r>
      <w:tr w:rsidR="00A229BF" w:rsidRPr="00A229BF" w:rsidTr="00542BAD">
        <w:trPr>
          <w:trHeight w:val="255"/>
        </w:trPr>
        <w:tc>
          <w:tcPr>
            <w:tcW w:w="1780" w:type="pct"/>
            <w:shd w:val="clear" w:color="auto" w:fill="auto"/>
            <w:noWrap/>
            <w:vAlign w:val="center"/>
            <w:hideMark/>
          </w:tcPr>
          <w:p w:rsidR="00A229BF" w:rsidRPr="00A229BF" w:rsidRDefault="00A229BF" w:rsidP="00A229BF">
            <w:pPr>
              <w:spacing w:after="0" w:line="240" w:lineRule="auto"/>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r>
      <w:tr w:rsidR="00A229BF" w:rsidRPr="00A229BF" w:rsidTr="00542BAD">
        <w:trPr>
          <w:trHeight w:val="300"/>
        </w:trPr>
        <w:tc>
          <w:tcPr>
            <w:tcW w:w="1780" w:type="pct"/>
            <w:shd w:val="clear" w:color="auto" w:fill="auto"/>
            <w:noWrap/>
            <w:vAlign w:val="center"/>
            <w:hideMark/>
          </w:tcPr>
          <w:p w:rsidR="00A229BF" w:rsidRPr="00A229BF" w:rsidRDefault="00A229BF" w:rsidP="00A229BF">
            <w:pPr>
              <w:spacing w:after="0" w:line="240" w:lineRule="auto"/>
              <w:rPr>
                <w:rFonts w:ascii="Sylfaen" w:eastAsia="Times New Roman" w:hAnsi="Sylfaen" w:cs="Arial"/>
                <w:b/>
                <w:bCs/>
                <w:color w:val="000000"/>
                <w:sz w:val="20"/>
                <w:szCs w:val="20"/>
              </w:rPr>
            </w:pPr>
            <w:r w:rsidRPr="00A229BF">
              <w:rPr>
                <w:rFonts w:ascii="Sylfaen" w:eastAsia="Times New Roman" w:hAnsi="Sylfaen" w:cs="Arial"/>
                <w:b/>
                <w:bCs/>
                <w:color w:val="000000"/>
                <w:sz w:val="20"/>
                <w:szCs w:val="20"/>
              </w:rPr>
              <w:t>უარყოფითი მთლიანი</w:t>
            </w:r>
            <w:r w:rsidRPr="00A229BF">
              <w:rPr>
                <w:rFonts w:ascii="Arial" w:eastAsia="Times New Roman" w:hAnsi="Arial" w:cs="Arial"/>
                <w:b/>
                <w:bCs/>
                <w:color w:val="000000"/>
                <w:sz w:val="20"/>
                <w:szCs w:val="20"/>
              </w:rPr>
              <w:t xml:space="preserve"> </w:t>
            </w:r>
            <w:r w:rsidRPr="00A229BF">
              <w:rPr>
                <w:rFonts w:ascii="Sylfaen" w:eastAsia="Times New Roman" w:hAnsi="Sylfaen" w:cs="Arial"/>
                <w:b/>
                <w:bCs/>
                <w:color w:val="000000"/>
                <w:sz w:val="20"/>
                <w:szCs w:val="20"/>
              </w:rPr>
              <w:t>სალდო</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-9,3%</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-6,8%</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-4,3%</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-2,8%</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-2,5%</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-2,3%</w:t>
            </w:r>
          </w:p>
        </w:tc>
      </w:tr>
      <w:tr w:rsidR="00A229BF" w:rsidRPr="00A229BF" w:rsidTr="00542BAD">
        <w:trPr>
          <w:trHeight w:val="300"/>
        </w:trPr>
        <w:tc>
          <w:tcPr>
            <w:tcW w:w="1780" w:type="pct"/>
            <w:shd w:val="clear" w:color="auto" w:fill="auto"/>
            <w:vAlign w:val="center"/>
            <w:hideMark/>
          </w:tcPr>
          <w:p w:rsidR="00A229BF" w:rsidRPr="00A229BF" w:rsidRDefault="00A229BF" w:rsidP="00A229BF">
            <w:pPr>
              <w:spacing w:after="0" w:line="240" w:lineRule="auto"/>
              <w:rPr>
                <w:rFonts w:ascii="Arial" w:eastAsia="Times New Roman" w:hAnsi="Arial" w:cs="Arial"/>
                <w:i/>
                <w:iCs/>
                <w:color w:val="000000"/>
                <w:sz w:val="20"/>
                <w:szCs w:val="20"/>
              </w:rPr>
            </w:pP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სხვაობა</w:t>
            </w: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წინა</w:t>
            </w:r>
            <w:r w:rsidRPr="00A229BF">
              <w:rPr>
                <w:rFonts w:ascii="Arial" w:eastAsia="Times New Roman" w:hAnsi="Arial" w:cs="Arial"/>
                <w:i/>
                <w:iCs/>
                <w:color w:val="000000"/>
                <w:sz w:val="20"/>
                <w:szCs w:val="20"/>
              </w:rPr>
              <w:t xml:space="preserve"> </w:t>
            </w:r>
            <w:r w:rsidRPr="00A229BF">
              <w:rPr>
                <w:rFonts w:ascii="Sylfaen" w:eastAsia="Times New Roman" w:hAnsi="Sylfaen" w:cs="Arial"/>
                <w:i/>
                <w:iCs/>
                <w:color w:val="000000"/>
                <w:sz w:val="20"/>
                <w:szCs w:val="20"/>
              </w:rPr>
              <w:t>წელთან</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2,4%</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2,5%</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1,5%</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0,3%</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r>
      <w:tr w:rsidR="00A229BF" w:rsidRPr="00A229BF" w:rsidTr="00542BAD">
        <w:trPr>
          <w:trHeight w:val="255"/>
        </w:trPr>
        <w:tc>
          <w:tcPr>
            <w:tcW w:w="1780" w:type="pct"/>
            <w:shd w:val="clear" w:color="auto" w:fill="auto"/>
            <w:noWrap/>
            <w:vAlign w:val="center"/>
            <w:hideMark/>
          </w:tcPr>
          <w:p w:rsidR="00A229BF" w:rsidRPr="00A229BF" w:rsidRDefault="00A229BF" w:rsidP="00A229BF">
            <w:pPr>
              <w:spacing w:after="0" w:line="240" w:lineRule="auto"/>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4,9%</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5,0%</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3,1%</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0,5%</w:t>
            </w:r>
          </w:p>
        </w:tc>
        <w:tc>
          <w:tcPr>
            <w:tcW w:w="537" w:type="pct"/>
            <w:shd w:val="clear" w:color="auto" w:fill="auto"/>
            <w:noWrap/>
            <w:vAlign w:val="center"/>
            <w:hideMark/>
          </w:tcPr>
          <w:p w:rsidR="00A229BF" w:rsidRPr="00A229BF" w:rsidRDefault="00A229BF" w:rsidP="00A229BF">
            <w:pPr>
              <w:spacing w:after="0" w:line="240" w:lineRule="auto"/>
              <w:jc w:val="center"/>
              <w:rPr>
                <w:rFonts w:ascii="Arial" w:eastAsia="Times New Roman" w:hAnsi="Arial" w:cs="Arial"/>
                <w:color w:val="000000"/>
                <w:sz w:val="20"/>
                <w:szCs w:val="20"/>
              </w:rPr>
            </w:pPr>
            <w:r w:rsidRPr="00A229BF">
              <w:rPr>
                <w:rFonts w:ascii="Arial" w:eastAsia="Times New Roman" w:hAnsi="Arial" w:cs="Arial"/>
                <w:color w:val="000000"/>
                <w:sz w:val="20"/>
                <w:szCs w:val="20"/>
              </w:rPr>
              <w:t> </w:t>
            </w:r>
          </w:p>
        </w:tc>
      </w:tr>
    </w:tbl>
    <w:p w:rsidR="00AD738A" w:rsidRPr="00C9780C" w:rsidRDefault="00AD738A" w:rsidP="00AD738A">
      <w:pPr>
        <w:tabs>
          <w:tab w:val="left" w:pos="90"/>
        </w:tabs>
        <w:spacing w:after="120" w:line="276" w:lineRule="auto"/>
        <w:ind w:firstLine="720"/>
        <w:jc w:val="both"/>
        <w:rPr>
          <w:rFonts w:ascii="Sylfaen" w:hAnsi="Sylfaen" w:cs="Sylfaen"/>
          <w:lang w:val="ka-GE"/>
        </w:rPr>
      </w:pPr>
    </w:p>
    <w:p w:rsidR="00D75C72" w:rsidRDefault="009973A2" w:rsidP="00D75C72">
      <w:pPr>
        <w:spacing w:line="276" w:lineRule="auto"/>
        <w:ind w:firstLine="720"/>
        <w:jc w:val="both"/>
        <w:rPr>
          <w:rFonts w:ascii="Sylfaen" w:hAnsi="Sylfaen" w:cs="Sylfaen"/>
          <w:lang w:val="ka-GE"/>
        </w:rPr>
      </w:pPr>
      <w:r w:rsidRPr="00C9780C">
        <w:rPr>
          <w:rFonts w:ascii="Sylfaen" w:hAnsi="Sylfaen" w:cs="Sylfaen"/>
          <w:lang w:val="ka-GE"/>
        </w:rPr>
        <w:t>მიუხედავად იმისა, რომ</w:t>
      </w:r>
      <w:r w:rsidR="00044987" w:rsidRPr="00C9780C">
        <w:rPr>
          <w:rFonts w:ascii="Sylfaen" w:hAnsi="Sylfaen" w:cs="Sylfaen"/>
          <w:lang w:val="ka-GE"/>
        </w:rPr>
        <w:t xml:space="preserve"> </w:t>
      </w:r>
      <w:r w:rsidR="00AD738A" w:rsidRPr="00C9780C">
        <w:rPr>
          <w:rFonts w:ascii="Sylfaen" w:hAnsi="Sylfaen" w:cs="Sylfaen"/>
          <w:lang w:val="ka-GE"/>
        </w:rPr>
        <w:t>ეკონომიკური ზრდის აღდგენა 2021 წლიდან დაიწყ</w:t>
      </w:r>
      <w:r w:rsidR="0005717F" w:rsidRPr="00C9780C">
        <w:rPr>
          <w:rFonts w:ascii="Sylfaen" w:hAnsi="Sylfaen" w:cs="Sylfaen"/>
          <w:lang w:val="ka-GE"/>
        </w:rPr>
        <w:t>ო</w:t>
      </w:r>
      <w:r w:rsidR="00AD738A" w:rsidRPr="00C9780C">
        <w:rPr>
          <w:rFonts w:ascii="Sylfaen" w:hAnsi="Sylfaen" w:cs="Sylfaen"/>
          <w:lang w:val="ka-GE"/>
        </w:rPr>
        <w:t xml:space="preserve"> და მშპ-</w:t>
      </w:r>
      <w:r w:rsidRPr="00C9780C">
        <w:rPr>
          <w:rFonts w:ascii="Sylfaen" w:hAnsi="Sylfaen" w:cs="Sylfaen"/>
          <w:lang w:val="ka-GE"/>
        </w:rPr>
        <w:t>ი</w:t>
      </w:r>
      <w:r w:rsidR="00AD738A" w:rsidRPr="00C9780C">
        <w:rPr>
          <w:rFonts w:ascii="Sylfaen" w:hAnsi="Sylfaen" w:cs="Sylfaen"/>
          <w:lang w:val="ka-GE"/>
        </w:rPr>
        <w:t>ს რეალური ზრდა</w:t>
      </w:r>
      <w:r w:rsidR="00704ED0" w:rsidRPr="00C9780C">
        <w:rPr>
          <w:rFonts w:ascii="Sylfaen" w:hAnsi="Sylfaen" w:cs="Sylfaen"/>
          <w:lang w:val="ka-GE"/>
        </w:rPr>
        <w:t xml:space="preserve"> </w:t>
      </w:r>
      <w:r w:rsidR="0005717F" w:rsidRPr="00C9780C">
        <w:rPr>
          <w:rFonts w:ascii="Sylfaen" w:hAnsi="Sylfaen" w:cs="Sylfaen"/>
          <w:lang w:val="ka-GE"/>
        </w:rPr>
        <w:t>განახლებული პროგნოზით</w:t>
      </w:r>
      <w:r w:rsidR="00B453B3">
        <w:rPr>
          <w:rFonts w:ascii="Sylfaen" w:hAnsi="Sylfaen" w:cs="Sylfaen"/>
          <w:lang w:val="ka-GE"/>
        </w:rPr>
        <w:t xml:space="preserve"> 9.5</w:t>
      </w:r>
      <w:r w:rsidRPr="00C9780C">
        <w:rPr>
          <w:rFonts w:ascii="Sylfaen" w:hAnsi="Sylfaen" w:cs="Sylfaen"/>
          <w:lang w:val="ka-GE"/>
        </w:rPr>
        <w:t>%</w:t>
      </w:r>
      <w:r w:rsidR="00BC68CE" w:rsidRPr="00C9780C">
        <w:rPr>
          <w:rFonts w:ascii="Sylfaen" w:hAnsi="Sylfaen" w:cs="Sylfaen"/>
          <w:lang w:val="ka-GE"/>
        </w:rPr>
        <w:t>-ს</w:t>
      </w:r>
      <w:r w:rsidR="0005717F" w:rsidRPr="00C9780C">
        <w:rPr>
          <w:rFonts w:ascii="Sylfaen" w:hAnsi="Sylfaen" w:cs="Sylfaen"/>
          <w:lang w:val="ka-GE"/>
        </w:rPr>
        <w:t xml:space="preserve"> შეადგენს</w:t>
      </w:r>
      <w:r w:rsidRPr="00C9780C">
        <w:rPr>
          <w:rFonts w:ascii="Sylfaen" w:hAnsi="Sylfaen" w:cs="Sylfaen"/>
          <w:lang w:val="ka-GE"/>
        </w:rPr>
        <w:t xml:space="preserve">, ხოლო </w:t>
      </w:r>
      <w:r w:rsidR="00704ED0" w:rsidRPr="00C9780C">
        <w:rPr>
          <w:rFonts w:ascii="Sylfaen" w:hAnsi="Sylfaen" w:cs="Sylfaen"/>
          <w:lang w:val="ka-GE"/>
        </w:rPr>
        <w:t>საშუალოვადიან პერიოდში</w:t>
      </w:r>
      <w:r w:rsidR="00AD738A" w:rsidRPr="00C9780C">
        <w:rPr>
          <w:rFonts w:ascii="Sylfaen" w:hAnsi="Sylfaen" w:cs="Sylfaen"/>
          <w:lang w:val="ka-GE"/>
        </w:rPr>
        <w:t xml:space="preserve"> </w:t>
      </w:r>
      <w:r w:rsidRPr="00C9780C">
        <w:rPr>
          <w:rFonts w:ascii="Sylfaen" w:hAnsi="Sylfaen" w:cs="Sylfaen"/>
          <w:lang w:val="ka-GE"/>
        </w:rPr>
        <w:t xml:space="preserve">საშუალოდ </w:t>
      </w:r>
      <w:r w:rsidR="00704ED0" w:rsidRPr="00C9780C">
        <w:rPr>
          <w:rFonts w:ascii="Sylfaen" w:hAnsi="Sylfaen" w:cs="Sylfaen"/>
          <w:lang w:val="ka-GE"/>
        </w:rPr>
        <w:t>5</w:t>
      </w:r>
      <w:r w:rsidRPr="00C9780C">
        <w:rPr>
          <w:rFonts w:ascii="Sylfaen" w:hAnsi="Sylfaen" w:cs="Sylfaen"/>
          <w:lang w:val="ka-GE"/>
        </w:rPr>
        <w:t>.</w:t>
      </w:r>
      <w:r w:rsidR="00B453B3">
        <w:rPr>
          <w:rFonts w:ascii="Sylfaen" w:hAnsi="Sylfaen" w:cs="Sylfaen"/>
          <w:lang w:val="ka-GE"/>
        </w:rPr>
        <w:t>5</w:t>
      </w:r>
      <w:r w:rsidR="00AD738A" w:rsidRPr="00C9780C">
        <w:rPr>
          <w:rFonts w:ascii="Sylfaen" w:hAnsi="Sylfaen" w:cs="Sylfaen"/>
          <w:lang w:val="ka-GE"/>
        </w:rPr>
        <w:t>%-</w:t>
      </w:r>
      <w:r w:rsidR="00B453B3">
        <w:rPr>
          <w:rFonts w:ascii="Sylfaen" w:hAnsi="Sylfaen" w:cs="Sylfaen"/>
          <w:lang w:val="ka-GE"/>
        </w:rPr>
        <w:t>ი</w:t>
      </w:r>
      <w:r w:rsidR="00AD738A" w:rsidRPr="00C9780C">
        <w:rPr>
          <w:rFonts w:ascii="Sylfaen" w:hAnsi="Sylfaen" w:cs="Sylfaen"/>
          <w:lang w:val="ka-GE"/>
        </w:rPr>
        <w:t>ს</w:t>
      </w:r>
      <w:r w:rsidR="00B453B3">
        <w:rPr>
          <w:rFonts w:ascii="Sylfaen" w:hAnsi="Sylfaen" w:cs="Sylfaen"/>
          <w:lang w:val="ka-GE"/>
        </w:rPr>
        <w:t xml:space="preserve"> ფარგლებში იქნება</w:t>
      </w:r>
      <w:r w:rsidRPr="00C9780C">
        <w:rPr>
          <w:rFonts w:ascii="Sylfaen" w:hAnsi="Sylfaen" w:cs="Sylfaen"/>
          <w:lang w:val="ka-GE"/>
        </w:rPr>
        <w:t xml:space="preserve">, </w:t>
      </w:r>
      <w:r w:rsidR="00A97679">
        <w:rPr>
          <w:rFonts w:ascii="Sylfaen" w:hAnsi="Sylfaen" w:cs="Sylfaen"/>
          <w:lang w:val="ka-GE"/>
        </w:rPr>
        <w:t xml:space="preserve">პანდემიის საპასუხოდ, </w:t>
      </w:r>
      <w:r w:rsidRPr="00C9780C">
        <w:rPr>
          <w:rFonts w:ascii="Sylfaen" w:hAnsi="Sylfaen" w:cs="Sylfaen"/>
          <w:lang w:val="ka-GE"/>
        </w:rPr>
        <w:t xml:space="preserve">2021 წელს </w:t>
      </w:r>
      <w:r w:rsidR="00A97679">
        <w:rPr>
          <w:rFonts w:ascii="Sylfaen" w:hAnsi="Sylfaen" w:cs="Sylfaen"/>
          <w:lang w:val="ka-GE"/>
        </w:rPr>
        <w:t>არსებული შეღავათ</w:t>
      </w:r>
      <w:r w:rsidR="00F20812">
        <w:rPr>
          <w:rFonts w:ascii="Sylfaen" w:hAnsi="Sylfaen" w:cs="Sylfaen"/>
          <w:lang w:val="ka-GE"/>
        </w:rPr>
        <w:t>ე</w:t>
      </w:r>
      <w:r w:rsidR="00A97679">
        <w:rPr>
          <w:rFonts w:ascii="Sylfaen" w:hAnsi="Sylfaen" w:cs="Sylfaen"/>
          <w:lang w:val="ka-GE"/>
        </w:rPr>
        <w:t xml:space="preserve">ბის </w:t>
      </w:r>
      <w:r w:rsidRPr="00C9780C">
        <w:rPr>
          <w:rFonts w:ascii="Sylfaen" w:hAnsi="Sylfaen" w:cs="Sylfaen"/>
          <w:lang w:val="ka-GE"/>
        </w:rPr>
        <w:t>გათვალისწინებით</w:t>
      </w:r>
      <w:r w:rsidR="00334A00">
        <w:rPr>
          <w:rFonts w:ascii="Sylfaen" w:hAnsi="Sylfaen" w:cs="Sylfaen"/>
          <w:lang w:val="ka-GE"/>
        </w:rPr>
        <w:t>,</w:t>
      </w:r>
      <w:r w:rsidRPr="00C9780C">
        <w:rPr>
          <w:rFonts w:ascii="Sylfaen" w:hAnsi="Sylfaen" w:cs="Sylfaen"/>
          <w:lang w:val="ka-GE"/>
        </w:rPr>
        <w:t xml:space="preserve"> </w:t>
      </w:r>
      <w:r w:rsidR="00A546A7" w:rsidRPr="00C9780C">
        <w:rPr>
          <w:rFonts w:ascii="Sylfaen" w:hAnsi="Sylfaen" w:cs="Sylfaen"/>
          <w:lang w:val="ka-GE"/>
        </w:rPr>
        <w:t>არადეფიციტური შემოსავლები</w:t>
      </w:r>
      <w:r w:rsidRPr="00C9780C">
        <w:rPr>
          <w:rFonts w:ascii="Sylfaen" w:hAnsi="Sylfaen" w:cs="Sylfaen"/>
          <w:lang w:val="ka-GE"/>
        </w:rPr>
        <w:t xml:space="preserve"> მშპ-თან მიმართებაში </w:t>
      </w:r>
      <w:r w:rsidR="0074751F" w:rsidRPr="00C9780C">
        <w:rPr>
          <w:rFonts w:ascii="Sylfaen" w:hAnsi="Sylfaen" w:cs="Sylfaen"/>
          <w:lang w:val="ka-GE"/>
        </w:rPr>
        <w:t>მცირ</w:t>
      </w:r>
      <w:r w:rsidR="0005717F" w:rsidRPr="00C9780C">
        <w:rPr>
          <w:rFonts w:ascii="Sylfaen" w:hAnsi="Sylfaen" w:cs="Sylfaen"/>
          <w:lang w:val="ka-GE"/>
        </w:rPr>
        <w:t xml:space="preserve">ედით იზრდება </w:t>
      </w:r>
      <w:r w:rsidRPr="00C9780C">
        <w:rPr>
          <w:rFonts w:ascii="Sylfaen" w:hAnsi="Sylfaen" w:cs="Sylfaen"/>
          <w:lang w:val="ka-GE"/>
        </w:rPr>
        <w:t>წინა წელთან შედარებით 0.</w:t>
      </w:r>
      <w:r w:rsidR="00F20812">
        <w:rPr>
          <w:rFonts w:ascii="Sylfaen" w:hAnsi="Sylfaen" w:cs="Sylfaen"/>
          <w:lang w:val="ka-GE"/>
        </w:rPr>
        <w:t>1</w:t>
      </w:r>
      <w:r w:rsidRPr="00C9780C">
        <w:rPr>
          <w:rFonts w:ascii="Sylfaen" w:hAnsi="Sylfaen" w:cs="Sylfaen"/>
          <w:lang w:val="ka-GE"/>
        </w:rPr>
        <w:t xml:space="preserve"> პროცენტული პუნქტით</w:t>
      </w:r>
      <w:r w:rsidR="00F20812">
        <w:rPr>
          <w:rFonts w:ascii="Sylfaen" w:hAnsi="Sylfaen" w:cs="Sylfaen"/>
          <w:lang w:val="ka-GE"/>
        </w:rPr>
        <w:t xml:space="preserve"> და საშუალოვადიან პერიოდში 25.8 პროცენტის ფარგლებშია შენარჩუნებული. </w:t>
      </w:r>
      <w:r w:rsidR="0005717F" w:rsidRPr="00C9780C">
        <w:rPr>
          <w:rFonts w:ascii="Sylfaen" w:hAnsi="Sylfaen" w:cs="Sylfaen"/>
          <w:lang w:val="ka-GE"/>
        </w:rPr>
        <w:t xml:space="preserve"> </w:t>
      </w:r>
      <w:r w:rsidR="00AD738A" w:rsidRPr="00C9780C">
        <w:rPr>
          <w:rFonts w:ascii="Sylfaen" w:hAnsi="Sylfaen" w:cs="Sylfaen"/>
          <w:lang w:val="ka-GE"/>
        </w:rPr>
        <w:t xml:space="preserve">სახელმწიფო პენსიის ინდექსაციის მიუხედავად, 2021 წლიდან </w:t>
      </w:r>
      <w:r w:rsidR="008E75CE" w:rsidRPr="00C9780C">
        <w:rPr>
          <w:rFonts w:ascii="Sylfaen" w:hAnsi="Sylfaen" w:cs="Sylfaen"/>
          <w:lang w:val="ka-GE"/>
        </w:rPr>
        <w:t xml:space="preserve">ნაერთი ბიუჯეტის </w:t>
      </w:r>
      <w:r w:rsidR="00AD738A" w:rsidRPr="00C9780C">
        <w:rPr>
          <w:rFonts w:ascii="Sylfaen" w:hAnsi="Sylfaen" w:cs="Sylfaen"/>
          <w:lang w:val="ka-GE"/>
        </w:rPr>
        <w:t xml:space="preserve">მიმდინარე </w:t>
      </w:r>
      <w:r w:rsidR="00CC180B" w:rsidRPr="00C9780C">
        <w:rPr>
          <w:rFonts w:ascii="Sylfaen" w:hAnsi="Sylfaen" w:cs="Sylfaen"/>
          <w:lang w:val="ka-GE"/>
        </w:rPr>
        <w:t>ხარჯები</w:t>
      </w:r>
      <w:r w:rsidR="00334A00">
        <w:rPr>
          <w:rFonts w:ascii="Sylfaen" w:hAnsi="Sylfaen" w:cs="Sylfaen"/>
          <w:lang w:val="ka-GE"/>
        </w:rPr>
        <w:t>ს</w:t>
      </w:r>
      <w:r w:rsidR="00AD738A" w:rsidRPr="00C9780C">
        <w:rPr>
          <w:rFonts w:ascii="Sylfaen" w:hAnsi="Sylfaen" w:cs="Sylfaen"/>
          <w:lang w:val="ka-GE"/>
        </w:rPr>
        <w:t xml:space="preserve"> მშპ-ის 2</w:t>
      </w:r>
      <w:r w:rsidR="00F20812">
        <w:rPr>
          <w:rFonts w:ascii="Sylfaen" w:hAnsi="Sylfaen" w:cs="Sylfaen"/>
          <w:lang w:val="ka-GE"/>
        </w:rPr>
        <w:t>4</w:t>
      </w:r>
      <w:r w:rsidR="00A546A7" w:rsidRPr="00C9780C">
        <w:rPr>
          <w:rFonts w:ascii="Sylfaen" w:hAnsi="Sylfaen" w:cs="Sylfaen"/>
          <w:lang w:val="ka-GE"/>
        </w:rPr>
        <w:t>.</w:t>
      </w:r>
      <w:r w:rsidR="00F20812">
        <w:rPr>
          <w:rFonts w:ascii="Sylfaen" w:hAnsi="Sylfaen" w:cs="Sylfaen"/>
          <w:lang w:val="ka-GE"/>
        </w:rPr>
        <w:t>7</w:t>
      </w:r>
      <w:r w:rsidR="00AD738A" w:rsidRPr="00C9780C">
        <w:rPr>
          <w:rFonts w:ascii="Sylfaen" w:hAnsi="Sylfaen" w:cs="Sylfaen"/>
          <w:lang w:val="ka-GE"/>
        </w:rPr>
        <w:t>%-ის ფარგლებში</w:t>
      </w:r>
      <w:r w:rsidR="008E75CE" w:rsidRPr="00C9780C">
        <w:rPr>
          <w:rFonts w:ascii="Sylfaen" w:hAnsi="Sylfaen" w:cs="Sylfaen"/>
          <w:lang w:val="ka-GE"/>
        </w:rPr>
        <w:t xml:space="preserve">, </w:t>
      </w:r>
      <w:r w:rsidR="00AD738A" w:rsidRPr="00C9780C">
        <w:rPr>
          <w:rFonts w:ascii="Sylfaen" w:hAnsi="Sylfaen" w:cs="Sylfaen"/>
          <w:lang w:val="ka-GE"/>
        </w:rPr>
        <w:t xml:space="preserve">ხოლო საშუალოვადიან პერიოდში </w:t>
      </w:r>
      <w:r w:rsidR="0074751F" w:rsidRPr="00C9780C">
        <w:rPr>
          <w:rFonts w:ascii="Sylfaen" w:hAnsi="Sylfaen" w:cs="Sylfaen"/>
        </w:rPr>
        <w:t>2</w:t>
      </w:r>
      <w:r w:rsidR="00F20812">
        <w:rPr>
          <w:rFonts w:ascii="Sylfaen" w:hAnsi="Sylfaen" w:cs="Sylfaen"/>
          <w:lang w:val="ka-GE"/>
        </w:rPr>
        <w:t>2</w:t>
      </w:r>
      <w:r w:rsidR="0074751F" w:rsidRPr="00C9780C">
        <w:rPr>
          <w:rFonts w:ascii="Sylfaen" w:hAnsi="Sylfaen" w:cs="Sylfaen"/>
        </w:rPr>
        <w:t>%-</w:t>
      </w:r>
      <w:r w:rsidR="0074751F" w:rsidRPr="00C9780C">
        <w:rPr>
          <w:rFonts w:ascii="Sylfaen" w:hAnsi="Sylfaen" w:cs="Sylfaen"/>
          <w:lang w:val="ka-GE"/>
        </w:rPr>
        <w:t xml:space="preserve">ის ფარგლებში ჩამოსვლა, </w:t>
      </w:r>
      <w:r w:rsidR="00776610" w:rsidRPr="00C9780C">
        <w:rPr>
          <w:rFonts w:ascii="Sylfaen" w:hAnsi="Sylfaen" w:cs="Sylfaen"/>
          <w:lang w:val="ka-GE"/>
        </w:rPr>
        <w:t>ასევე</w:t>
      </w:r>
      <w:r w:rsidR="0074751F" w:rsidRPr="00C9780C">
        <w:rPr>
          <w:rFonts w:ascii="Sylfaen" w:hAnsi="Sylfaen" w:cs="Sylfaen"/>
          <w:lang w:val="ka-GE"/>
        </w:rPr>
        <w:t xml:space="preserve"> </w:t>
      </w:r>
      <w:r w:rsidR="00AD738A" w:rsidRPr="00C9780C">
        <w:rPr>
          <w:rFonts w:ascii="Sylfaen" w:hAnsi="Sylfaen" w:cs="Sylfaen"/>
          <w:lang w:val="ka-GE"/>
        </w:rPr>
        <w:t xml:space="preserve">არაფინანსური აქტივების ზრდის </w:t>
      </w:r>
      <w:r w:rsidR="009D41D3" w:rsidRPr="00C9780C">
        <w:rPr>
          <w:rFonts w:ascii="Sylfaen" w:hAnsi="Sylfaen" w:cs="Sylfaen"/>
          <w:lang w:val="ka-GE"/>
        </w:rPr>
        <w:t xml:space="preserve">საშუალოდ </w:t>
      </w:r>
      <w:r w:rsidR="00CC180B" w:rsidRPr="00C9780C">
        <w:rPr>
          <w:rFonts w:ascii="Sylfaen" w:hAnsi="Sylfaen" w:cs="Sylfaen"/>
          <w:lang w:val="ka-GE"/>
        </w:rPr>
        <w:t>7</w:t>
      </w:r>
      <w:r w:rsidR="009D41D3" w:rsidRPr="00C9780C">
        <w:rPr>
          <w:rFonts w:ascii="Sylfaen" w:hAnsi="Sylfaen" w:cs="Sylfaen"/>
          <w:lang w:val="ka-GE"/>
        </w:rPr>
        <w:t>.</w:t>
      </w:r>
      <w:r w:rsidR="006A0158">
        <w:rPr>
          <w:rFonts w:ascii="Sylfaen" w:hAnsi="Sylfaen" w:cs="Sylfaen"/>
          <w:lang w:val="ka-GE"/>
        </w:rPr>
        <w:t>3</w:t>
      </w:r>
      <w:r w:rsidR="009D41D3" w:rsidRPr="00C9780C">
        <w:rPr>
          <w:rFonts w:ascii="Sylfaen" w:hAnsi="Sylfaen" w:cs="Sylfaen"/>
          <w:lang w:val="ka-GE"/>
        </w:rPr>
        <w:t xml:space="preserve">%-ის ფარგლებში </w:t>
      </w:r>
      <w:r w:rsidR="00AD738A" w:rsidRPr="00C9780C">
        <w:rPr>
          <w:rFonts w:ascii="Sylfaen" w:hAnsi="Sylfaen" w:cs="Sylfaen"/>
          <w:lang w:val="ka-GE"/>
        </w:rPr>
        <w:t>შენარჩუნება</w:t>
      </w:r>
      <w:r w:rsidR="00776610" w:rsidRPr="00C9780C">
        <w:rPr>
          <w:rFonts w:ascii="Sylfaen" w:hAnsi="Sylfaen" w:cs="Sylfaen"/>
          <w:lang w:val="ka-GE"/>
        </w:rPr>
        <w:t>,</w:t>
      </w:r>
      <w:r w:rsidR="00AD738A" w:rsidRPr="00C9780C">
        <w:rPr>
          <w:rFonts w:ascii="Sylfaen" w:hAnsi="Sylfaen" w:cs="Sylfaen"/>
          <w:lang w:val="ka-GE"/>
        </w:rPr>
        <w:t xml:space="preserve"> საშუალებას იძლევა 2023 წლისთვის დეფიციტი შემცი</w:t>
      </w:r>
      <w:r w:rsidR="009D41D3" w:rsidRPr="00C9780C">
        <w:rPr>
          <w:rFonts w:ascii="Sylfaen" w:hAnsi="Sylfaen" w:cs="Sylfaen"/>
          <w:lang w:val="ka-GE"/>
        </w:rPr>
        <w:t>რ</w:t>
      </w:r>
      <w:r w:rsidR="00AD738A" w:rsidRPr="00C9780C">
        <w:rPr>
          <w:rFonts w:ascii="Sylfaen" w:hAnsi="Sylfaen" w:cs="Sylfaen"/>
          <w:lang w:val="ka-GE"/>
        </w:rPr>
        <w:t xml:space="preserve">დეს </w:t>
      </w:r>
      <w:r w:rsidR="00CC180B" w:rsidRPr="00C9780C">
        <w:rPr>
          <w:rFonts w:ascii="Sylfaen" w:hAnsi="Sylfaen" w:cs="Sylfaen"/>
          <w:lang w:val="ka-GE"/>
        </w:rPr>
        <w:t>2,8</w:t>
      </w:r>
      <w:r w:rsidR="00AD738A" w:rsidRPr="00C9780C">
        <w:rPr>
          <w:rFonts w:ascii="Sylfaen" w:hAnsi="Sylfaen" w:cs="Sylfaen"/>
          <w:lang w:val="ka-GE"/>
        </w:rPr>
        <w:t>%-მდე და დაუბრუნდეს „ეკონომიკური თავისუფლების შესახებ“ ორგანული კანონით გათვალისწინებულ</w:t>
      </w:r>
      <w:r w:rsidR="00334A00">
        <w:rPr>
          <w:rFonts w:ascii="Sylfaen" w:hAnsi="Sylfaen" w:cs="Sylfaen"/>
          <w:lang w:val="ka-GE"/>
        </w:rPr>
        <w:t>ი</w:t>
      </w:r>
      <w:r w:rsidR="00AD738A" w:rsidRPr="00C9780C">
        <w:rPr>
          <w:rFonts w:ascii="Sylfaen" w:hAnsi="Sylfaen" w:cs="Sylfaen"/>
          <w:lang w:val="ka-GE"/>
        </w:rPr>
        <w:t xml:space="preserve"> </w:t>
      </w:r>
      <w:r w:rsidR="00AD738A" w:rsidRPr="00A97679">
        <w:rPr>
          <w:rFonts w:ascii="Sylfaen" w:hAnsi="Sylfaen" w:cs="Sylfaen"/>
          <w:lang w:val="ka-GE"/>
        </w:rPr>
        <w:t xml:space="preserve">დეფიციტის ზღვრულ ნიშნულს. </w:t>
      </w:r>
      <w:r w:rsidR="00D75C72" w:rsidRPr="00A97679">
        <w:rPr>
          <w:rFonts w:ascii="Sylfaen" w:hAnsi="Sylfaen" w:cs="Sylfaen"/>
          <w:lang w:val="ka-GE"/>
        </w:rPr>
        <w:t>თუმცა დეფიციტის შემცირების პარალელურად</w:t>
      </w:r>
      <w:r w:rsidR="00334A00" w:rsidRPr="00A97679">
        <w:rPr>
          <w:rFonts w:ascii="Sylfaen" w:hAnsi="Sylfaen" w:cs="Sylfaen"/>
          <w:lang w:val="ka-GE"/>
        </w:rPr>
        <w:t>,</w:t>
      </w:r>
      <w:r w:rsidR="00D75C72" w:rsidRPr="00A97679">
        <w:rPr>
          <w:rFonts w:ascii="Sylfaen" w:hAnsi="Sylfaen" w:cs="Sylfaen"/>
          <w:lang w:val="ka-GE"/>
        </w:rPr>
        <w:t xml:space="preserve"> მომდევნო წლებშიც კაპიტალური ხარჯების 8%-ის ფარგლებში შენარჩუნება </w:t>
      </w:r>
      <w:r w:rsidR="009D41D3" w:rsidRPr="00A97679">
        <w:rPr>
          <w:rFonts w:ascii="Sylfaen" w:hAnsi="Sylfaen" w:cs="Sylfaen"/>
          <w:lang w:val="ka-GE"/>
        </w:rPr>
        <w:t>ასევე მნიშვნელოვან</w:t>
      </w:r>
      <w:r w:rsidR="00776610" w:rsidRPr="00A97679">
        <w:rPr>
          <w:rFonts w:ascii="Sylfaen" w:hAnsi="Sylfaen" w:cs="Sylfaen"/>
          <w:lang w:val="ka-GE"/>
        </w:rPr>
        <w:t>ი</w:t>
      </w:r>
      <w:r w:rsidR="009D41D3" w:rsidRPr="00A97679">
        <w:rPr>
          <w:rFonts w:ascii="Sylfaen" w:hAnsi="Sylfaen" w:cs="Sylfaen"/>
          <w:lang w:val="ka-GE"/>
        </w:rPr>
        <w:t xml:space="preserve"> გამოწვევაა, ამასთან 2</w:t>
      </w:r>
      <w:r w:rsidR="006A0158">
        <w:rPr>
          <w:rFonts w:ascii="Sylfaen" w:hAnsi="Sylfaen" w:cs="Sylfaen"/>
          <w:lang w:val="ka-GE"/>
        </w:rPr>
        <w:t>2</w:t>
      </w:r>
      <w:r w:rsidR="009D41D3" w:rsidRPr="00A97679">
        <w:rPr>
          <w:rFonts w:ascii="Sylfaen" w:hAnsi="Sylfaen" w:cs="Sylfaen"/>
          <w:lang w:val="ka-GE"/>
        </w:rPr>
        <w:t>%-ის ფარგლებში მიმდინარე ხარჯები პენსიის ინდექსაციის, განათლების რეფორმის და სხვა მნიშვ</w:t>
      </w:r>
      <w:r w:rsidR="00776610" w:rsidRPr="00A97679">
        <w:rPr>
          <w:rFonts w:ascii="Sylfaen" w:hAnsi="Sylfaen" w:cs="Sylfaen"/>
          <w:lang w:val="ka-GE"/>
        </w:rPr>
        <w:t>ნ</w:t>
      </w:r>
      <w:r w:rsidR="009D41D3" w:rsidRPr="00A97679">
        <w:rPr>
          <w:rFonts w:ascii="Sylfaen" w:hAnsi="Sylfaen" w:cs="Sylfaen"/>
          <w:lang w:val="ka-GE"/>
        </w:rPr>
        <w:t>ელოვანი სტრუქტურული რეფორმების საჭიროების ფონზე</w:t>
      </w:r>
      <w:r w:rsidR="00334A00" w:rsidRPr="00A97679">
        <w:rPr>
          <w:rFonts w:ascii="Sylfaen" w:hAnsi="Sylfaen" w:cs="Sylfaen"/>
          <w:lang w:val="ka-GE"/>
        </w:rPr>
        <w:t>,</w:t>
      </w:r>
      <w:r w:rsidR="009D41D3" w:rsidRPr="00A97679">
        <w:rPr>
          <w:rFonts w:ascii="Sylfaen" w:hAnsi="Sylfaen" w:cs="Sylfaen"/>
          <w:lang w:val="ka-GE"/>
        </w:rPr>
        <w:t xml:space="preserve"> საშუალოვადიან პერიოდში მეტად შემზღუდველ ფისკალურ პოლიტიკას გულისხმობს. </w:t>
      </w:r>
    </w:p>
    <w:p w:rsidR="00B10324" w:rsidRPr="00C9780C" w:rsidRDefault="00B10324" w:rsidP="00AD738A">
      <w:pPr>
        <w:spacing w:line="276" w:lineRule="auto"/>
        <w:ind w:firstLine="720"/>
        <w:jc w:val="both"/>
        <w:rPr>
          <w:rFonts w:ascii="Sylfaen" w:hAnsi="Sylfaen" w:cs="Sylfaen"/>
          <w:lang w:val="ka-GE"/>
        </w:rPr>
      </w:pPr>
      <w:r w:rsidRPr="00C9780C">
        <w:rPr>
          <w:rFonts w:ascii="Sylfaen" w:hAnsi="Sylfaen" w:cs="Sylfaen"/>
          <w:lang w:val="ka-GE"/>
        </w:rPr>
        <w:t xml:space="preserve">2020-2024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ცხრილში </w:t>
      </w:r>
      <w:r w:rsidR="000E416B">
        <w:rPr>
          <w:rFonts w:ascii="Sylfaen" w:hAnsi="Sylfaen" w:cs="Sylfaen"/>
          <w:bCs/>
          <w:noProof/>
          <w:sz w:val="20"/>
          <w:lang w:val="ka-GE"/>
        </w:rPr>
        <w:t>№10</w:t>
      </w:r>
      <w:r w:rsidRPr="00C9780C">
        <w:rPr>
          <w:rFonts w:ascii="Sylfaen" w:hAnsi="Sylfaen" w:cs="Sylfaen"/>
          <w:bCs/>
          <w:noProof/>
          <w:sz w:val="20"/>
          <w:lang w:val="ka-GE"/>
        </w:rPr>
        <w:t>.</w:t>
      </w:r>
    </w:p>
    <w:p w:rsidR="00A344A4" w:rsidRDefault="00A97679"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t>ცხრილი №9</w:t>
      </w:r>
      <w:r w:rsidR="00A344A4" w:rsidRPr="00C9780C">
        <w:rPr>
          <w:rFonts w:ascii="Sylfaen" w:hAnsi="Sylfaen" w:cs="Sylfaen"/>
          <w:b/>
          <w:bCs/>
          <w:noProof/>
          <w:sz w:val="20"/>
          <w:szCs w:val="22"/>
          <w:lang w:val="ka-GE"/>
        </w:rPr>
        <w:t xml:space="preserve"> - </w:t>
      </w:r>
      <w:r w:rsidR="00B10324" w:rsidRPr="00C9780C">
        <w:rPr>
          <w:rFonts w:ascii="Sylfaen" w:hAnsi="Sylfaen" w:cs="Sylfaen"/>
          <w:b/>
          <w:bCs/>
          <w:noProof/>
          <w:sz w:val="20"/>
          <w:szCs w:val="22"/>
          <w:lang w:val="ka-GE"/>
        </w:rPr>
        <w:t>ბიუჯეტის დეფიციტის პროგნოზების შედარება</w:t>
      </w:r>
    </w:p>
    <w:p w:rsidR="00542BAD"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823" w:type="pct"/>
        <w:tblInd w:w="-998"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4A0" w:firstRow="1" w:lastRow="0" w:firstColumn="1" w:lastColumn="0" w:noHBand="0" w:noVBand="1"/>
      </w:tblPr>
      <w:tblGrid>
        <w:gridCol w:w="1418"/>
        <w:gridCol w:w="804"/>
        <w:gridCol w:w="804"/>
        <w:gridCol w:w="804"/>
        <w:gridCol w:w="804"/>
        <w:gridCol w:w="804"/>
        <w:gridCol w:w="804"/>
        <w:gridCol w:w="894"/>
        <w:gridCol w:w="894"/>
        <w:gridCol w:w="894"/>
        <w:gridCol w:w="894"/>
        <w:gridCol w:w="894"/>
        <w:gridCol w:w="806"/>
      </w:tblGrid>
      <w:tr w:rsidR="00542BAD" w:rsidRPr="00542BAD" w:rsidTr="00542BAD">
        <w:trPr>
          <w:trHeight w:val="113"/>
          <w:tblHeader/>
        </w:trPr>
        <w:tc>
          <w:tcPr>
            <w:tcW w:w="616" w:type="pct"/>
            <w:vMerge w:val="restar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Sylfaen" w:eastAsia="Times New Roman" w:hAnsi="Sylfaen" w:cs="Sylfaen"/>
                <w:b/>
                <w:bCs/>
                <w:sz w:val="16"/>
                <w:szCs w:val="18"/>
              </w:rPr>
              <w:t>დასახელება</w:t>
            </w:r>
          </w:p>
        </w:tc>
        <w:tc>
          <w:tcPr>
            <w:tcW w:w="2094" w:type="pct"/>
            <w:gridSpan w:val="6"/>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6"/>
                <w:szCs w:val="16"/>
              </w:rPr>
            </w:pPr>
            <w:r w:rsidRPr="00542BAD">
              <w:rPr>
                <w:rFonts w:ascii="Sylfaen" w:eastAsia="Times New Roman" w:hAnsi="Sylfaen" w:cs="Arial"/>
                <w:b/>
                <w:bCs/>
                <w:sz w:val="16"/>
                <w:szCs w:val="16"/>
              </w:rPr>
              <w:t>ნაერთი</w:t>
            </w:r>
            <w:r w:rsidRPr="00542BAD">
              <w:rPr>
                <w:rFonts w:ascii="Arial" w:eastAsia="Times New Roman" w:hAnsi="Arial" w:cs="Arial"/>
                <w:b/>
                <w:bCs/>
                <w:sz w:val="16"/>
                <w:szCs w:val="16"/>
              </w:rPr>
              <w:t xml:space="preserve"> </w:t>
            </w:r>
            <w:r w:rsidRPr="00542BAD">
              <w:rPr>
                <w:rFonts w:ascii="Sylfaen" w:eastAsia="Times New Roman" w:hAnsi="Sylfaen" w:cs="Arial"/>
                <w:b/>
                <w:bCs/>
                <w:sz w:val="16"/>
                <w:szCs w:val="16"/>
              </w:rPr>
              <w:t>ბიუჯეტი</w:t>
            </w:r>
          </w:p>
        </w:tc>
        <w:tc>
          <w:tcPr>
            <w:tcW w:w="2290" w:type="pct"/>
            <w:gridSpan w:val="6"/>
            <w:shd w:val="clear" w:color="auto" w:fill="auto"/>
            <w:noWrap/>
            <w:vAlign w:val="center"/>
            <w:hideMark/>
          </w:tcPr>
          <w:p w:rsidR="00542BAD" w:rsidRPr="00542BAD" w:rsidRDefault="00542BAD" w:rsidP="00542BAD">
            <w:pPr>
              <w:spacing w:after="0" w:line="240" w:lineRule="auto"/>
              <w:jc w:val="center"/>
              <w:rPr>
                <w:rFonts w:ascii="Sylfaen" w:eastAsia="Times New Roman" w:hAnsi="Sylfaen" w:cs="Arial"/>
                <w:b/>
                <w:bCs/>
                <w:sz w:val="16"/>
                <w:szCs w:val="16"/>
              </w:rPr>
            </w:pPr>
            <w:r w:rsidRPr="00542BAD">
              <w:rPr>
                <w:rFonts w:ascii="Sylfaen" w:eastAsia="Times New Roman" w:hAnsi="Sylfaen" w:cs="Arial"/>
                <w:b/>
                <w:bCs/>
                <w:sz w:val="16"/>
                <w:szCs w:val="16"/>
              </w:rPr>
              <w:t>სახელმწიფოს</w:t>
            </w:r>
            <w:r w:rsidRPr="00542BAD">
              <w:rPr>
                <w:rFonts w:ascii="Arial" w:eastAsia="Times New Roman" w:hAnsi="Arial" w:cs="Arial"/>
                <w:b/>
                <w:bCs/>
                <w:sz w:val="16"/>
                <w:szCs w:val="16"/>
              </w:rPr>
              <w:t xml:space="preserve"> </w:t>
            </w:r>
            <w:r w:rsidRPr="00542BAD">
              <w:rPr>
                <w:rFonts w:ascii="Sylfaen" w:eastAsia="Times New Roman" w:hAnsi="Sylfaen" w:cs="Arial"/>
                <w:b/>
                <w:bCs/>
                <w:sz w:val="16"/>
                <w:szCs w:val="16"/>
              </w:rPr>
              <w:t>ერთიანი</w:t>
            </w:r>
            <w:r w:rsidRPr="00542BAD">
              <w:rPr>
                <w:rFonts w:ascii="Arial" w:eastAsia="Times New Roman" w:hAnsi="Arial" w:cs="Arial"/>
                <w:b/>
                <w:bCs/>
                <w:sz w:val="16"/>
                <w:szCs w:val="16"/>
              </w:rPr>
              <w:t xml:space="preserve"> </w:t>
            </w:r>
            <w:r w:rsidRPr="00542BAD">
              <w:rPr>
                <w:rFonts w:ascii="Sylfaen" w:eastAsia="Times New Roman" w:hAnsi="Sylfaen" w:cs="Arial"/>
                <w:b/>
                <w:bCs/>
                <w:sz w:val="16"/>
                <w:szCs w:val="16"/>
              </w:rPr>
              <w:t>ბიუჯეტი</w:t>
            </w:r>
          </w:p>
        </w:tc>
      </w:tr>
      <w:tr w:rsidR="00542BAD" w:rsidRPr="00542BAD" w:rsidTr="00542BAD">
        <w:trPr>
          <w:trHeight w:val="347"/>
          <w:tblHeader/>
        </w:trPr>
        <w:tc>
          <w:tcPr>
            <w:tcW w:w="616" w:type="pct"/>
            <w:vMerge/>
            <w:vAlign w:val="center"/>
            <w:hideMark/>
          </w:tcPr>
          <w:p w:rsidR="00542BAD" w:rsidRPr="00542BAD" w:rsidRDefault="00542BAD" w:rsidP="00542BAD">
            <w:pPr>
              <w:spacing w:after="0" w:line="240" w:lineRule="auto"/>
              <w:rPr>
                <w:rFonts w:ascii="Arial" w:eastAsia="Times New Roman" w:hAnsi="Arial" w:cs="Arial"/>
                <w:b/>
                <w:bCs/>
                <w:sz w:val="16"/>
                <w:szCs w:val="18"/>
              </w:rPr>
            </w:pP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2021</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2022</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2023</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2024</w:t>
            </w:r>
          </w:p>
        </w:tc>
        <w:tc>
          <w:tcPr>
            <w:tcW w:w="349"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2025</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2021</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2022</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2023</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2024</w:t>
            </w:r>
          </w:p>
        </w:tc>
        <w:tc>
          <w:tcPr>
            <w:tcW w:w="350"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2025</w:t>
            </w:r>
          </w:p>
        </w:tc>
      </w:tr>
      <w:tr w:rsidR="00542BAD" w:rsidRPr="00542BAD" w:rsidTr="00542BAD">
        <w:trPr>
          <w:trHeight w:val="255"/>
        </w:trPr>
        <w:tc>
          <w:tcPr>
            <w:tcW w:w="5000" w:type="pct"/>
            <w:gridSpan w:val="13"/>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6"/>
              </w:rPr>
            </w:pPr>
            <w:r w:rsidRPr="00542BAD">
              <w:rPr>
                <w:rFonts w:ascii="Arial" w:eastAsia="Times New Roman" w:hAnsi="Arial" w:cs="Arial"/>
                <w:sz w:val="16"/>
                <w:szCs w:val="16"/>
              </w:rPr>
              <w:t> </w:t>
            </w:r>
          </w:p>
        </w:tc>
      </w:tr>
      <w:tr w:rsidR="00542BAD" w:rsidRPr="00542BAD" w:rsidTr="00542BAD">
        <w:trPr>
          <w:trHeight w:val="255"/>
        </w:trPr>
        <w:tc>
          <w:tcPr>
            <w:tcW w:w="5000" w:type="pct"/>
            <w:gridSpan w:val="13"/>
            <w:shd w:val="clear" w:color="auto" w:fill="auto"/>
            <w:vAlign w:val="center"/>
            <w:hideMark/>
          </w:tcPr>
          <w:p w:rsidR="00542BAD" w:rsidRPr="00542BAD" w:rsidRDefault="00542BAD" w:rsidP="00542BAD">
            <w:pPr>
              <w:spacing w:after="0" w:line="240" w:lineRule="auto"/>
              <w:rPr>
                <w:rFonts w:ascii="Sylfaen" w:eastAsia="Times New Roman" w:hAnsi="Sylfaen" w:cs="Arial"/>
                <w:b/>
                <w:bCs/>
                <w:sz w:val="16"/>
                <w:szCs w:val="16"/>
              </w:rPr>
            </w:pPr>
            <w:r w:rsidRPr="00542BAD">
              <w:rPr>
                <w:rFonts w:ascii="Sylfaen" w:eastAsia="Times New Roman" w:hAnsi="Sylfaen" w:cs="Arial"/>
                <w:b/>
                <w:bCs/>
                <w:sz w:val="16"/>
                <w:szCs w:val="16"/>
              </w:rPr>
              <w:t>მთლიანი</w:t>
            </w:r>
            <w:r w:rsidRPr="00542BAD">
              <w:rPr>
                <w:rFonts w:ascii="Arial" w:eastAsia="Times New Roman" w:hAnsi="Arial" w:cs="Arial"/>
                <w:b/>
                <w:bCs/>
                <w:sz w:val="16"/>
                <w:szCs w:val="16"/>
              </w:rPr>
              <w:t xml:space="preserve"> </w:t>
            </w:r>
            <w:r w:rsidRPr="00542BAD">
              <w:rPr>
                <w:rFonts w:ascii="Sylfaen" w:eastAsia="Times New Roman" w:hAnsi="Sylfaen" w:cs="Arial"/>
                <w:b/>
                <w:bCs/>
                <w:sz w:val="16"/>
                <w:szCs w:val="16"/>
              </w:rPr>
              <w:t>სალდო</w:t>
            </w:r>
            <w:r w:rsidRPr="00542BAD">
              <w:rPr>
                <w:rFonts w:ascii="Arial" w:eastAsia="Times New Roman" w:hAnsi="Arial" w:cs="Arial"/>
                <w:sz w:val="16"/>
                <w:szCs w:val="16"/>
              </w:rPr>
              <w:t> </w:t>
            </w:r>
          </w:p>
        </w:tc>
      </w:tr>
      <w:tr w:rsidR="00542BAD" w:rsidRPr="00542BAD" w:rsidTr="00542BAD">
        <w:trPr>
          <w:trHeight w:val="510"/>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sz w:val="16"/>
                <w:szCs w:val="18"/>
              </w:rPr>
            </w:pPr>
            <w:r w:rsidRPr="00542BAD">
              <w:rPr>
                <w:rFonts w:ascii="Arial" w:eastAsia="Times New Roman" w:hAnsi="Arial" w:cs="Arial"/>
                <w:sz w:val="16"/>
                <w:szCs w:val="18"/>
              </w:rPr>
              <w:t xml:space="preserve">2021-2024 </w:t>
            </w:r>
            <w:r w:rsidRPr="00542BAD">
              <w:rPr>
                <w:rFonts w:ascii="Sylfaen" w:eastAsia="Times New Roman" w:hAnsi="Sylfaen" w:cs="Arial"/>
                <w:sz w:val="16"/>
                <w:szCs w:val="18"/>
              </w:rPr>
              <w:t>პროგნოზი (2020 წლის დეკემბერი)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-4 200,0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-3 991,0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-2 399,0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-1 813,0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-1 646,0</w:t>
            </w:r>
          </w:p>
        </w:tc>
        <w:tc>
          <w:tcPr>
            <w:tcW w:w="349"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 </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-4 188,70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-4 131,90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-2 342,60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-1 819,00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-1 649,00</w:t>
            </w:r>
          </w:p>
        </w:tc>
        <w:tc>
          <w:tcPr>
            <w:tcW w:w="350"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 </w:t>
            </w:r>
          </w:p>
        </w:tc>
      </w:tr>
      <w:tr w:rsidR="00542BAD" w:rsidRPr="00542BAD" w:rsidTr="00542BAD">
        <w:trPr>
          <w:trHeight w:val="450"/>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sz w:val="16"/>
                <w:szCs w:val="18"/>
              </w:rPr>
            </w:pPr>
            <w:r w:rsidRPr="00542BAD">
              <w:rPr>
                <w:rFonts w:ascii="Arial" w:eastAsia="Times New Roman" w:hAnsi="Arial" w:cs="Arial"/>
                <w:sz w:val="16"/>
                <w:szCs w:val="18"/>
              </w:rPr>
              <w:t xml:space="preserve">2022-2025 </w:t>
            </w:r>
            <w:r w:rsidRPr="00542BAD">
              <w:rPr>
                <w:rFonts w:ascii="Sylfaen" w:eastAsia="Times New Roman" w:hAnsi="Sylfaen" w:cs="Arial"/>
                <w:sz w:val="16"/>
                <w:szCs w:val="18"/>
              </w:rPr>
              <w:t>პროგნოზი (2021 წლის ივლისი)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-4 574,2</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-3 980,0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-2 661,0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-1 958,0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-1 914,0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-1 914,0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-4 450,9</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-3 971,1</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-2 632,0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-1 952,0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-1 863,0</w:t>
            </w:r>
          </w:p>
        </w:tc>
        <w:tc>
          <w:tcPr>
            <w:tcW w:w="350"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-1 858,0</w:t>
            </w:r>
          </w:p>
        </w:tc>
      </w:tr>
      <w:tr w:rsidR="00542BAD" w:rsidRPr="00542BAD" w:rsidTr="00542BAD">
        <w:trPr>
          <w:trHeight w:val="450"/>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color w:val="1F4E78"/>
                <w:sz w:val="16"/>
                <w:szCs w:val="18"/>
              </w:rPr>
            </w:pPr>
            <w:r w:rsidRPr="00542BAD">
              <w:rPr>
                <w:rFonts w:ascii="Arial" w:eastAsia="Times New Roman" w:hAnsi="Arial" w:cs="Arial"/>
                <w:color w:val="1F4E78"/>
                <w:sz w:val="16"/>
                <w:szCs w:val="18"/>
              </w:rPr>
              <w:t xml:space="preserve">2022-2025 </w:t>
            </w:r>
            <w:r w:rsidRPr="00542BAD">
              <w:rPr>
                <w:rFonts w:ascii="Sylfaen" w:eastAsia="Times New Roman" w:hAnsi="Sylfaen" w:cs="Arial"/>
                <w:color w:val="1F4E78"/>
                <w:sz w:val="16"/>
                <w:szCs w:val="18"/>
              </w:rPr>
              <w:t>პროგნოზი (2021 წლის სექტემბერი)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-4 574,2</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-3 980,0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-2 777,0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-1 943,0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-1 914,0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-1 914,0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-4 450,9</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-3 975,3</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-2 750,7</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-1 940,4</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-1 866,5</w:t>
            </w:r>
          </w:p>
        </w:tc>
        <w:tc>
          <w:tcPr>
            <w:tcW w:w="350"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-1 876,6</w:t>
            </w:r>
          </w:p>
        </w:tc>
      </w:tr>
      <w:tr w:rsidR="00542BAD" w:rsidRPr="00542BAD" w:rsidTr="00542BAD">
        <w:trPr>
          <w:trHeight w:val="255"/>
        </w:trPr>
        <w:tc>
          <w:tcPr>
            <w:tcW w:w="5000" w:type="pct"/>
            <w:gridSpan w:val="13"/>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 </w:t>
            </w:r>
          </w:p>
        </w:tc>
      </w:tr>
      <w:tr w:rsidR="00542BAD" w:rsidRPr="00542BAD" w:rsidTr="00542BAD">
        <w:trPr>
          <w:trHeight w:val="262"/>
        </w:trPr>
        <w:tc>
          <w:tcPr>
            <w:tcW w:w="5000" w:type="pct"/>
            <w:gridSpan w:val="13"/>
            <w:shd w:val="clear" w:color="auto" w:fill="auto"/>
            <w:vAlign w:val="center"/>
            <w:hideMark/>
          </w:tcPr>
          <w:p w:rsidR="00542BAD" w:rsidRPr="00542BAD" w:rsidRDefault="00542BAD" w:rsidP="00542BAD">
            <w:pPr>
              <w:spacing w:after="0" w:line="240" w:lineRule="auto"/>
              <w:rPr>
                <w:rFonts w:ascii="Sylfaen" w:eastAsia="Times New Roman" w:hAnsi="Sylfaen" w:cs="Arial"/>
                <w:b/>
                <w:bCs/>
                <w:sz w:val="16"/>
                <w:szCs w:val="18"/>
              </w:rPr>
            </w:pPr>
            <w:r w:rsidRPr="00542BAD">
              <w:rPr>
                <w:rFonts w:ascii="Sylfaen" w:eastAsia="Times New Roman" w:hAnsi="Sylfaen" w:cs="Arial"/>
                <w:b/>
                <w:bCs/>
                <w:sz w:val="16"/>
                <w:szCs w:val="18"/>
              </w:rPr>
              <w:t>მოდიფიცირებული</w:t>
            </w:r>
            <w:r w:rsidRPr="00542BAD">
              <w:rPr>
                <w:rFonts w:ascii="Arial" w:eastAsia="Times New Roman" w:hAnsi="Arial" w:cs="Arial"/>
                <w:b/>
                <w:bCs/>
                <w:sz w:val="16"/>
                <w:szCs w:val="18"/>
              </w:rPr>
              <w:t xml:space="preserve"> </w:t>
            </w:r>
            <w:r w:rsidRPr="00542BAD">
              <w:rPr>
                <w:rFonts w:ascii="Sylfaen" w:eastAsia="Times New Roman" w:hAnsi="Sylfaen" w:cs="Arial"/>
                <w:b/>
                <w:bCs/>
                <w:sz w:val="16"/>
                <w:szCs w:val="18"/>
              </w:rPr>
              <w:t>დეფიციტი</w:t>
            </w:r>
            <w:r w:rsidRPr="00542BAD">
              <w:rPr>
                <w:rFonts w:ascii="Arial" w:eastAsia="Times New Roman" w:hAnsi="Arial" w:cs="Arial"/>
                <w:b/>
                <w:bCs/>
                <w:sz w:val="16"/>
                <w:szCs w:val="18"/>
              </w:rPr>
              <w:t xml:space="preserve"> (IMF </w:t>
            </w:r>
            <w:r w:rsidRPr="00542BAD">
              <w:rPr>
                <w:rFonts w:ascii="Sylfaen" w:eastAsia="Times New Roman" w:hAnsi="Sylfaen" w:cs="Arial"/>
                <w:b/>
                <w:bCs/>
                <w:sz w:val="16"/>
                <w:szCs w:val="18"/>
              </w:rPr>
              <w:t>პროგრამა</w:t>
            </w:r>
            <w:r>
              <w:rPr>
                <w:rFonts w:ascii="Sylfaen" w:eastAsia="Times New Roman" w:hAnsi="Sylfaen" w:cs="Arial"/>
                <w:b/>
                <w:bCs/>
                <w:sz w:val="16"/>
                <w:szCs w:val="18"/>
                <w:lang w:val="ka-GE"/>
              </w:rPr>
              <w:t>)</w:t>
            </w:r>
            <w:r w:rsidRPr="00542BAD">
              <w:rPr>
                <w:rFonts w:ascii="Calibri" w:eastAsia="Times New Roman" w:hAnsi="Calibri" w:cs="Calibri"/>
                <w:sz w:val="16"/>
                <w:szCs w:val="18"/>
              </w:rPr>
              <w:t> </w:t>
            </w:r>
          </w:p>
        </w:tc>
      </w:tr>
      <w:tr w:rsidR="00542BAD" w:rsidRPr="00542BAD" w:rsidTr="00542BAD">
        <w:trPr>
          <w:trHeight w:val="510"/>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sz w:val="16"/>
                <w:szCs w:val="18"/>
              </w:rPr>
            </w:pPr>
            <w:r w:rsidRPr="00542BAD">
              <w:rPr>
                <w:rFonts w:ascii="Arial" w:eastAsia="Times New Roman" w:hAnsi="Arial" w:cs="Arial"/>
                <w:sz w:val="16"/>
                <w:szCs w:val="18"/>
              </w:rPr>
              <w:t xml:space="preserve">2021-2024 </w:t>
            </w:r>
            <w:r w:rsidRPr="00542BAD">
              <w:rPr>
                <w:rFonts w:ascii="Sylfaen" w:eastAsia="Times New Roman" w:hAnsi="Sylfaen" w:cs="Arial"/>
                <w:sz w:val="16"/>
                <w:szCs w:val="18"/>
              </w:rPr>
              <w:t>პროგნოზი (2020 წლის დეკემბერი)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-4 470,0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-4 082,0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-2 534,0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-1 948,0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-1 781,0</w:t>
            </w:r>
          </w:p>
        </w:tc>
        <w:tc>
          <w:tcPr>
            <w:tcW w:w="349"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 </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-4 498,9</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-4 228,8</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-2 487,6</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-1 964,0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-1 794,0</w:t>
            </w:r>
          </w:p>
        </w:tc>
        <w:tc>
          <w:tcPr>
            <w:tcW w:w="350" w:type="pct"/>
            <w:shd w:val="clear" w:color="000000" w:fill="FDE9D9"/>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 </w:t>
            </w:r>
          </w:p>
        </w:tc>
      </w:tr>
      <w:tr w:rsidR="00542BAD" w:rsidRPr="00542BAD" w:rsidTr="00542BAD">
        <w:trPr>
          <w:trHeight w:val="345"/>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sz w:val="16"/>
                <w:szCs w:val="18"/>
              </w:rPr>
            </w:pPr>
            <w:r w:rsidRPr="00542BAD">
              <w:rPr>
                <w:rFonts w:ascii="Arial" w:eastAsia="Times New Roman" w:hAnsi="Arial" w:cs="Arial"/>
                <w:sz w:val="16"/>
                <w:szCs w:val="18"/>
              </w:rPr>
              <w:t xml:space="preserve">2022-2025 </w:t>
            </w:r>
            <w:r w:rsidRPr="00542BAD">
              <w:rPr>
                <w:rFonts w:ascii="Sylfaen" w:eastAsia="Times New Roman" w:hAnsi="Sylfaen" w:cs="Arial"/>
                <w:sz w:val="16"/>
                <w:szCs w:val="18"/>
              </w:rPr>
              <w:t>პროგნოზი (2021 წლის ივლისი)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-4 595,9</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-3 925,0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-2 796,0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-2 093,0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-2 049,0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-2 049,0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-4 520,3</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-3 922,1</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-2 792,0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-2 112,0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-2 023,0</w:t>
            </w:r>
          </w:p>
        </w:tc>
        <w:tc>
          <w:tcPr>
            <w:tcW w:w="350"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-2 018,0</w:t>
            </w:r>
          </w:p>
        </w:tc>
      </w:tr>
      <w:tr w:rsidR="00542BAD" w:rsidRPr="00542BAD" w:rsidTr="00542BAD">
        <w:trPr>
          <w:trHeight w:val="450"/>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color w:val="1F4E78"/>
                <w:sz w:val="16"/>
                <w:szCs w:val="18"/>
              </w:rPr>
            </w:pPr>
            <w:r w:rsidRPr="00542BAD">
              <w:rPr>
                <w:rFonts w:ascii="Arial" w:eastAsia="Times New Roman" w:hAnsi="Arial" w:cs="Arial"/>
                <w:color w:val="1F4E78"/>
                <w:sz w:val="16"/>
                <w:szCs w:val="18"/>
              </w:rPr>
              <w:t xml:space="preserve">2022-2025 </w:t>
            </w:r>
            <w:r w:rsidRPr="00542BAD">
              <w:rPr>
                <w:rFonts w:ascii="Sylfaen" w:eastAsia="Times New Roman" w:hAnsi="Sylfaen" w:cs="Arial"/>
                <w:color w:val="305496"/>
                <w:sz w:val="16"/>
                <w:szCs w:val="18"/>
              </w:rPr>
              <w:t>პროგნოზი (2021 წლის სექტემბერი)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-4 595,9</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-3 925,0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-2 852,0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-2 078,0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-2 049,0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-2 049,0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-4 520,3</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-3 926,3</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-2 850,7</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-2 100,4</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-2 026,5</w:t>
            </w:r>
          </w:p>
        </w:tc>
        <w:tc>
          <w:tcPr>
            <w:tcW w:w="350"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-2 036,6</w:t>
            </w:r>
          </w:p>
        </w:tc>
      </w:tr>
      <w:tr w:rsidR="00542BAD" w:rsidRPr="00542BAD" w:rsidTr="00542BAD">
        <w:trPr>
          <w:trHeight w:val="255"/>
        </w:trPr>
        <w:tc>
          <w:tcPr>
            <w:tcW w:w="5000" w:type="pct"/>
            <w:gridSpan w:val="13"/>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 </w:t>
            </w:r>
          </w:p>
        </w:tc>
      </w:tr>
      <w:tr w:rsidR="00542BAD" w:rsidRPr="00542BAD" w:rsidTr="00542BAD">
        <w:trPr>
          <w:trHeight w:val="255"/>
        </w:trPr>
        <w:tc>
          <w:tcPr>
            <w:tcW w:w="5000" w:type="pct"/>
            <w:gridSpan w:val="13"/>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b/>
                <w:bCs/>
                <w:sz w:val="16"/>
                <w:szCs w:val="18"/>
              </w:rPr>
            </w:pPr>
            <w:r w:rsidRPr="00542BAD">
              <w:rPr>
                <w:rFonts w:ascii="Arial" w:eastAsia="Times New Roman" w:hAnsi="Arial" w:cs="Arial"/>
                <w:b/>
                <w:bCs/>
                <w:sz w:val="16"/>
                <w:szCs w:val="18"/>
              </w:rPr>
              <w:t xml:space="preserve">% </w:t>
            </w:r>
            <w:r w:rsidRPr="00542BAD">
              <w:rPr>
                <w:rFonts w:ascii="Sylfaen" w:eastAsia="Times New Roman" w:hAnsi="Sylfaen" w:cs="Arial"/>
                <w:b/>
                <w:bCs/>
                <w:sz w:val="16"/>
                <w:szCs w:val="18"/>
              </w:rPr>
              <w:t>მშპ</w:t>
            </w:r>
            <w:r w:rsidRPr="00542BAD">
              <w:rPr>
                <w:rFonts w:ascii="Arial" w:eastAsia="Times New Roman" w:hAnsi="Arial" w:cs="Arial"/>
                <w:b/>
                <w:bCs/>
                <w:sz w:val="16"/>
                <w:szCs w:val="18"/>
              </w:rPr>
              <w:t>-</w:t>
            </w:r>
            <w:r w:rsidRPr="00542BAD">
              <w:rPr>
                <w:rFonts w:ascii="Sylfaen" w:eastAsia="Times New Roman" w:hAnsi="Sylfaen" w:cs="Arial"/>
                <w:b/>
                <w:bCs/>
                <w:sz w:val="16"/>
                <w:szCs w:val="18"/>
              </w:rPr>
              <w:t>თან</w:t>
            </w:r>
          </w:p>
        </w:tc>
      </w:tr>
      <w:tr w:rsidR="00542BAD" w:rsidRPr="00542BAD" w:rsidTr="00542BAD">
        <w:trPr>
          <w:trHeight w:val="255"/>
        </w:trPr>
        <w:tc>
          <w:tcPr>
            <w:tcW w:w="5000" w:type="pct"/>
            <w:gridSpan w:val="13"/>
            <w:shd w:val="clear" w:color="auto" w:fill="auto"/>
            <w:vAlign w:val="center"/>
            <w:hideMark/>
          </w:tcPr>
          <w:p w:rsidR="00542BAD" w:rsidRPr="00542BAD" w:rsidRDefault="00542BAD" w:rsidP="00542BAD">
            <w:pPr>
              <w:spacing w:after="0" w:line="240" w:lineRule="auto"/>
              <w:rPr>
                <w:rFonts w:ascii="Sylfaen" w:eastAsia="Times New Roman" w:hAnsi="Sylfaen" w:cs="Arial"/>
                <w:b/>
                <w:bCs/>
                <w:sz w:val="16"/>
                <w:szCs w:val="18"/>
              </w:rPr>
            </w:pPr>
            <w:r w:rsidRPr="00542BAD">
              <w:rPr>
                <w:rFonts w:ascii="Sylfaen" w:eastAsia="Times New Roman" w:hAnsi="Sylfaen" w:cs="Arial"/>
                <w:b/>
                <w:bCs/>
                <w:sz w:val="16"/>
                <w:szCs w:val="18"/>
              </w:rPr>
              <w:t>მთლიანი</w:t>
            </w:r>
            <w:r w:rsidRPr="00542BAD">
              <w:rPr>
                <w:rFonts w:ascii="Arial" w:eastAsia="Times New Roman" w:hAnsi="Arial" w:cs="Arial"/>
                <w:b/>
                <w:bCs/>
                <w:sz w:val="16"/>
                <w:szCs w:val="18"/>
              </w:rPr>
              <w:t xml:space="preserve"> </w:t>
            </w:r>
            <w:r w:rsidRPr="00542BAD">
              <w:rPr>
                <w:rFonts w:ascii="Sylfaen" w:eastAsia="Times New Roman" w:hAnsi="Sylfaen" w:cs="Arial"/>
                <w:b/>
                <w:bCs/>
                <w:sz w:val="16"/>
                <w:szCs w:val="18"/>
              </w:rPr>
              <w:t>სალდო</w:t>
            </w:r>
            <w:r w:rsidRPr="00542BAD">
              <w:rPr>
                <w:rFonts w:ascii="Arial" w:eastAsia="Times New Roman" w:hAnsi="Arial" w:cs="Arial"/>
                <w:sz w:val="16"/>
                <w:szCs w:val="18"/>
              </w:rPr>
              <w:t> </w:t>
            </w:r>
          </w:p>
        </w:tc>
      </w:tr>
      <w:tr w:rsidR="00542BAD" w:rsidRPr="00542BAD" w:rsidTr="00542BAD">
        <w:trPr>
          <w:trHeight w:val="510"/>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sz w:val="16"/>
                <w:szCs w:val="18"/>
              </w:rPr>
            </w:pPr>
            <w:r w:rsidRPr="00542BAD">
              <w:rPr>
                <w:rFonts w:ascii="Arial" w:eastAsia="Times New Roman" w:hAnsi="Arial" w:cs="Arial"/>
                <w:sz w:val="16"/>
                <w:szCs w:val="18"/>
              </w:rPr>
              <w:t xml:space="preserve">2021-2024 </w:t>
            </w:r>
            <w:r w:rsidRPr="00542BAD">
              <w:rPr>
                <w:rFonts w:ascii="Sylfaen" w:eastAsia="Times New Roman" w:hAnsi="Sylfaen" w:cs="Arial"/>
                <w:sz w:val="16"/>
                <w:szCs w:val="18"/>
              </w:rPr>
              <w:t>პროგნოზი (2020 წლის დეკემბერი)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-8,5%</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-7,5%</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-4,1%</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-2,9%</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-2,4%</w:t>
            </w:r>
          </w:p>
        </w:tc>
        <w:tc>
          <w:tcPr>
            <w:tcW w:w="349" w:type="pct"/>
            <w:shd w:val="clear" w:color="000000" w:fill="FCE4D6"/>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 </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-8,5%</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-7,7%</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-2,9%</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-2,4%</w:t>
            </w:r>
          </w:p>
        </w:tc>
        <w:tc>
          <w:tcPr>
            <w:tcW w:w="350" w:type="pct"/>
            <w:shd w:val="clear" w:color="000000" w:fill="FCE4D6"/>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 </w:t>
            </w:r>
          </w:p>
        </w:tc>
      </w:tr>
      <w:tr w:rsidR="00542BAD" w:rsidRPr="00542BAD" w:rsidTr="00542BAD">
        <w:trPr>
          <w:trHeight w:val="405"/>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sz w:val="16"/>
                <w:szCs w:val="18"/>
              </w:rPr>
            </w:pPr>
            <w:r w:rsidRPr="00542BAD">
              <w:rPr>
                <w:rFonts w:ascii="Arial" w:eastAsia="Times New Roman" w:hAnsi="Arial" w:cs="Arial"/>
                <w:sz w:val="16"/>
                <w:szCs w:val="18"/>
              </w:rPr>
              <w:t xml:space="preserve">2022-2025 </w:t>
            </w:r>
            <w:r w:rsidRPr="00542BAD">
              <w:rPr>
                <w:rFonts w:ascii="Sylfaen" w:eastAsia="Times New Roman" w:hAnsi="Sylfaen" w:cs="Arial"/>
                <w:sz w:val="16"/>
                <w:szCs w:val="18"/>
              </w:rPr>
              <w:t>პროგნოზი (2021 წლის ივლისი)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-9,3%</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-7,0%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-4,2%</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-2,8%</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-2,5%</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-2,3%</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-9,0%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-6,9%</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-4,1%</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-2,8%</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-2,5%</w:t>
            </w:r>
          </w:p>
        </w:tc>
        <w:tc>
          <w:tcPr>
            <w:tcW w:w="350"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-2,3%</w:t>
            </w:r>
          </w:p>
        </w:tc>
      </w:tr>
      <w:tr w:rsidR="00542BAD" w:rsidRPr="00542BAD" w:rsidTr="00542BAD">
        <w:trPr>
          <w:trHeight w:val="510"/>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color w:val="1F4E78"/>
                <w:sz w:val="16"/>
                <w:szCs w:val="18"/>
              </w:rPr>
            </w:pPr>
            <w:r w:rsidRPr="00542BAD">
              <w:rPr>
                <w:rFonts w:ascii="Arial" w:eastAsia="Times New Roman" w:hAnsi="Arial" w:cs="Arial"/>
                <w:color w:val="1F4E78"/>
                <w:sz w:val="16"/>
                <w:szCs w:val="18"/>
              </w:rPr>
              <w:t xml:space="preserve">2022-2025 </w:t>
            </w:r>
            <w:r w:rsidRPr="00542BAD">
              <w:rPr>
                <w:rFonts w:ascii="Sylfaen" w:eastAsia="Times New Roman" w:hAnsi="Sylfaen" w:cs="Arial"/>
                <w:color w:val="1F4E78"/>
                <w:sz w:val="16"/>
                <w:szCs w:val="18"/>
              </w:rPr>
              <w:t>პროგნოზი (2021 წლის სექტემბერი)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-9,3%</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-6,8%</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-4,3%</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-2,8%</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-2,5%</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-2,3%</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-9,0%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-6,8%</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-4,3%</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-2,8%</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-2,4%</w:t>
            </w:r>
          </w:p>
        </w:tc>
        <w:tc>
          <w:tcPr>
            <w:tcW w:w="350"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-2,3%</w:t>
            </w:r>
          </w:p>
        </w:tc>
      </w:tr>
      <w:tr w:rsidR="00542BAD" w:rsidRPr="00542BAD" w:rsidTr="00542BAD">
        <w:trPr>
          <w:trHeight w:val="255"/>
        </w:trPr>
        <w:tc>
          <w:tcPr>
            <w:tcW w:w="5000" w:type="pct"/>
            <w:gridSpan w:val="13"/>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 </w:t>
            </w:r>
          </w:p>
        </w:tc>
      </w:tr>
      <w:tr w:rsidR="00542BAD" w:rsidRPr="00542BAD" w:rsidTr="00542BAD">
        <w:trPr>
          <w:trHeight w:val="184"/>
        </w:trPr>
        <w:tc>
          <w:tcPr>
            <w:tcW w:w="5000" w:type="pct"/>
            <w:gridSpan w:val="13"/>
            <w:shd w:val="clear" w:color="auto" w:fill="auto"/>
            <w:vAlign w:val="center"/>
            <w:hideMark/>
          </w:tcPr>
          <w:p w:rsidR="00542BAD" w:rsidRPr="00542BAD" w:rsidRDefault="00542BAD" w:rsidP="00542BAD">
            <w:pPr>
              <w:spacing w:after="0" w:line="240" w:lineRule="auto"/>
              <w:rPr>
                <w:rFonts w:ascii="Sylfaen" w:eastAsia="Times New Roman" w:hAnsi="Sylfaen" w:cs="Arial"/>
                <w:b/>
                <w:bCs/>
                <w:sz w:val="16"/>
                <w:szCs w:val="18"/>
                <w:lang w:val="ka-GE"/>
              </w:rPr>
            </w:pPr>
            <w:r w:rsidRPr="00542BAD">
              <w:rPr>
                <w:rFonts w:ascii="Sylfaen" w:eastAsia="Times New Roman" w:hAnsi="Sylfaen" w:cs="Arial"/>
                <w:b/>
                <w:bCs/>
                <w:sz w:val="16"/>
                <w:szCs w:val="18"/>
              </w:rPr>
              <w:t>მოდიფიცირებული</w:t>
            </w:r>
            <w:r w:rsidRPr="00542BAD">
              <w:rPr>
                <w:rFonts w:ascii="Arial" w:eastAsia="Times New Roman" w:hAnsi="Arial" w:cs="Arial"/>
                <w:b/>
                <w:bCs/>
                <w:sz w:val="16"/>
                <w:szCs w:val="18"/>
              </w:rPr>
              <w:t xml:space="preserve"> </w:t>
            </w:r>
            <w:r w:rsidRPr="00542BAD">
              <w:rPr>
                <w:rFonts w:ascii="Sylfaen" w:eastAsia="Times New Roman" w:hAnsi="Sylfaen" w:cs="Arial"/>
                <w:b/>
                <w:bCs/>
                <w:sz w:val="16"/>
                <w:szCs w:val="18"/>
              </w:rPr>
              <w:t>დეფიციტი</w:t>
            </w:r>
            <w:r w:rsidRPr="00542BAD">
              <w:rPr>
                <w:rFonts w:ascii="Arial" w:eastAsia="Times New Roman" w:hAnsi="Arial" w:cs="Arial"/>
                <w:b/>
                <w:bCs/>
                <w:sz w:val="16"/>
                <w:szCs w:val="18"/>
              </w:rPr>
              <w:t xml:space="preserve"> (IMF </w:t>
            </w:r>
            <w:r w:rsidRPr="00542BAD">
              <w:rPr>
                <w:rFonts w:ascii="Sylfaen" w:eastAsia="Times New Roman" w:hAnsi="Sylfaen" w:cs="Arial"/>
                <w:b/>
                <w:bCs/>
                <w:sz w:val="16"/>
                <w:szCs w:val="18"/>
              </w:rPr>
              <w:t>პროგრამა</w:t>
            </w:r>
            <w:r>
              <w:rPr>
                <w:rFonts w:ascii="Sylfaen" w:eastAsia="Times New Roman" w:hAnsi="Sylfaen" w:cs="Arial"/>
                <w:b/>
                <w:bCs/>
                <w:sz w:val="16"/>
                <w:szCs w:val="18"/>
                <w:lang w:val="ka-GE"/>
              </w:rPr>
              <w:t>)</w:t>
            </w:r>
            <w:r w:rsidRPr="00542BAD">
              <w:rPr>
                <w:rFonts w:ascii="Arial" w:eastAsia="Times New Roman" w:hAnsi="Arial" w:cs="Arial"/>
                <w:sz w:val="16"/>
                <w:szCs w:val="18"/>
              </w:rPr>
              <w:t> </w:t>
            </w:r>
          </w:p>
        </w:tc>
      </w:tr>
      <w:tr w:rsidR="00542BAD" w:rsidRPr="00542BAD" w:rsidTr="00542BAD">
        <w:trPr>
          <w:trHeight w:val="510"/>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sz w:val="16"/>
                <w:szCs w:val="18"/>
              </w:rPr>
            </w:pPr>
            <w:r w:rsidRPr="00542BAD">
              <w:rPr>
                <w:rFonts w:ascii="Arial" w:eastAsia="Times New Roman" w:hAnsi="Arial" w:cs="Arial"/>
                <w:sz w:val="16"/>
                <w:szCs w:val="18"/>
              </w:rPr>
              <w:t xml:space="preserve">2021-2024 </w:t>
            </w:r>
            <w:r w:rsidRPr="00542BAD">
              <w:rPr>
                <w:rFonts w:ascii="Sylfaen" w:eastAsia="Times New Roman" w:hAnsi="Sylfaen" w:cs="Arial"/>
                <w:sz w:val="16"/>
                <w:szCs w:val="18"/>
              </w:rPr>
              <w:t>პროგნოზი (2020 წლის დეკემბერი)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-9,1%</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-7,6%</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-4,4%</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-3,1%</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-2,6%</w:t>
            </w:r>
          </w:p>
        </w:tc>
        <w:tc>
          <w:tcPr>
            <w:tcW w:w="349" w:type="pct"/>
            <w:shd w:val="clear" w:color="000000" w:fill="FCE4D6"/>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 </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-9,1%</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-7,9%</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-4,3%</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-3,1%</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-2,6%</w:t>
            </w:r>
          </w:p>
        </w:tc>
        <w:tc>
          <w:tcPr>
            <w:tcW w:w="350" w:type="pct"/>
            <w:shd w:val="clear" w:color="000000" w:fill="FCE4D6"/>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 </w:t>
            </w:r>
          </w:p>
        </w:tc>
      </w:tr>
      <w:tr w:rsidR="00542BAD" w:rsidRPr="00542BAD" w:rsidTr="00542BAD">
        <w:trPr>
          <w:trHeight w:val="375"/>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sz w:val="16"/>
                <w:szCs w:val="18"/>
              </w:rPr>
            </w:pPr>
            <w:r w:rsidRPr="00542BAD">
              <w:rPr>
                <w:rFonts w:ascii="Arial" w:eastAsia="Times New Roman" w:hAnsi="Arial" w:cs="Arial"/>
                <w:sz w:val="16"/>
                <w:szCs w:val="18"/>
              </w:rPr>
              <w:t xml:space="preserve">2022-2025 </w:t>
            </w:r>
            <w:r w:rsidRPr="00542BAD">
              <w:rPr>
                <w:rFonts w:ascii="Sylfaen" w:eastAsia="Times New Roman" w:hAnsi="Sylfaen" w:cs="Arial"/>
                <w:sz w:val="16"/>
                <w:szCs w:val="18"/>
              </w:rPr>
              <w:t>პროგნოზი (2021 წლის ივლისი)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-9,3%</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-6,9%</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-4,4%</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-3,0%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-2,7%</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-2,5%</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-9,1%</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-6,9%</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-4,4%</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-3,0%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-2,7%</w:t>
            </w:r>
          </w:p>
        </w:tc>
        <w:tc>
          <w:tcPr>
            <w:tcW w:w="350"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sz w:val="16"/>
                <w:szCs w:val="18"/>
              </w:rPr>
            </w:pPr>
            <w:r w:rsidRPr="00542BAD">
              <w:rPr>
                <w:rFonts w:ascii="Arial" w:eastAsia="Times New Roman" w:hAnsi="Arial" w:cs="Arial"/>
                <w:sz w:val="16"/>
                <w:szCs w:val="18"/>
              </w:rPr>
              <w:t>-2,5%</w:t>
            </w:r>
          </w:p>
        </w:tc>
      </w:tr>
      <w:tr w:rsidR="00542BAD" w:rsidRPr="00542BAD" w:rsidTr="00542BAD">
        <w:trPr>
          <w:trHeight w:val="510"/>
        </w:trPr>
        <w:tc>
          <w:tcPr>
            <w:tcW w:w="616" w:type="pct"/>
            <w:shd w:val="clear" w:color="auto" w:fill="auto"/>
            <w:vAlign w:val="center"/>
            <w:hideMark/>
          </w:tcPr>
          <w:p w:rsidR="00542BAD" w:rsidRPr="00542BAD" w:rsidRDefault="00542BAD" w:rsidP="00542BAD">
            <w:pPr>
              <w:spacing w:after="0" w:line="240" w:lineRule="auto"/>
              <w:ind w:firstLineChars="100" w:firstLine="160"/>
              <w:rPr>
                <w:rFonts w:ascii="Arial" w:eastAsia="Times New Roman" w:hAnsi="Arial" w:cs="Arial"/>
                <w:color w:val="1F4E78"/>
                <w:sz w:val="16"/>
                <w:szCs w:val="18"/>
              </w:rPr>
            </w:pPr>
            <w:r w:rsidRPr="00542BAD">
              <w:rPr>
                <w:rFonts w:ascii="Arial" w:eastAsia="Times New Roman" w:hAnsi="Arial" w:cs="Arial"/>
                <w:color w:val="1F4E78"/>
                <w:sz w:val="16"/>
                <w:szCs w:val="18"/>
              </w:rPr>
              <w:t xml:space="preserve">2022-2025 </w:t>
            </w:r>
            <w:r w:rsidRPr="00542BAD">
              <w:rPr>
                <w:rFonts w:ascii="Sylfaen" w:eastAsia="Times New Roman" w:hAnsi="Sylfaen" w:cs="Arial"/>
                <w:color w:val="1F4E78"/>
                <w:sz w:val="16"/>
                <w:szCs w:val="18"/>
              </w:rPr>
              <w:t>პროგნოზი (2021 წლის სექტემბერი)</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-9,3%</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-6,7%</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-4,4%</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-3,0%</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-2,7%</w:t>
            </w:r>
          </w:p>
        </w:tc>
        <w:tc>
          <w:tcPr>
            <w:tcW w:w="349"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-2,5%</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-9,1%</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-6,7%</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-4,4%</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-3,0%</w:t>
            </w:r>
          </w:p>
        </w:tc>
        <w:tc>
          <w:tcPr>
            <w:tcW w:w="388"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-2,7%</w:t>
            </w:r>
          </w:p>
        </w:tc>
        <w:tc>
          <w:tcPr>
            <w:tcW w:w="350" w:type="pct"/>
            <w:shd w:val="clear" w:color="auto" w:fill="auto"/>
            <w:noWrap/>
            <w:vAlign w:val="center"/>
            <w:hideMark/>
          </w:tcPr>
          <w:p w:rsidR="00542BAD" w:rsidRPr="00542BAD" w:rsidRDefault="00542BAD" w:rsidP="00542BAD">
            <w:pPr>
              <w:spacing w:after="0" w:line="240" w:lineRule="auto"/>
              <w:jc w:val="center"/>
              <w:rPr>
                <w:rFonts w:ascii="Arial" w:eastAsia="Times New Roman" w:hAnsi="Arial" w:cs="Arial"/>
                <w:color w:val="1F4E78"/>
                <w:sz w:val="16"/>
                <w:szCs w:val="18"/>
              </w:rPr>
            </w:pPr>
            <w:r w:rsidRPr="00542BAD">
              <w:rPr>
                <w:rFonts w:ascii="Arial" w:eastAsia="Times New Roman" w:hAnsi="Arial" w:cs="Arial"/>
                <w:color w:val="1F4E78"/>
                <w:sz w:val="16"/>
                <w:szCs w:val="18"/>
              </w:rPr>
              <w:t>-2,5%</w:t>
            </w:r>
          </w:p>
        </w:tc>
      </w:tr>
    </w:tbl>
    <w:p w:rsidR="00542BAD" w:rsidRDefault="00542BAD"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rsidR="00A229BF" w:rsidRPr="00542BAD"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en-US"/>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A229BF" w:rsidRPr="00C9780C" w:rsidRDefault="00A229BF" w:rsidP="00A344A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044987" w:rsidRPr="00C9780C" w:rsidRDefault="00044987" w:rsidP="00AD738A">
      <w:pPr>
        <w:spacing w:line="276" w:lineRule="auto"/>
        <w:ind w:firstLine="720"/>
        <w:jc w:val="both"/>
        <w:rPr>
          <w:rFonts w:ascii="Sylfaen" w:hAnsi="Sylfaen" w:cs="Sylfaen"/>
          <w:lang w:val="ka-GE"/>
        </w:rPr>
      </w:pPr>
    </w:p>
    <w:p w:rsidR="003A2E8C" w:rsidRDefault="0035579C" w:rsidP="006A22AE">
      <w:pPr>
        <w:jc w:val="both"/>
        <w:rPr>
          <w:rFonts w:ascii="Sylfaen" w:hAnsi="Sylfaen"/>
          <w:b/>
          <w:i/>
          <w:sz w:val="18"/>
          <w:u w:val="single"/>
        </w:rPr>
      </w:pPr>
      <w:r w:rsidRPr="00C9780C" w:rsidDel="00AD738A">
        <w:rPr>
          <w:rFonts w:ascii="Sylfaen" w:hAnsi="Sylfaen"/>
          <w:b/>
          <w:i/>
          <w:sz w:val="18"/>
          <w:u w:val="single"/>
        </w:rPr>
        <w:t xml:space="preserve"> </w:t>
      </w:r>
    </w:p>
    <w:p w:rsidR="00335BCF" w:rsidRPr="003A2E8C" w:rsidRDefault="003A2E8C" w:rsidP="003A2E8C">
      <w:pPr>
        <w:rPr>
          <w:rFonts w:ascii="Sylfaen" w:hAnsi="Sylfaen"/>
          <w:b/>
          <w:i/>
          <w:sz w:val="18"/>
          <w:u w:val="single"/>
        </w:rPr>
      </w:pPr>
      <w:r>
        <w:rPr>
          <w:rFonts w:ascii="Sylfaen" w:hAnsi="Sylfaen"/>
          <w:b/>
          <w:i/>
          <w:sz w:val="18"/>
          <w:u w:val="single"/>
        </w:rPr>
        <w:br w:type="page"/>
      </w:r>
    </w:p>
    <w:p w:rsidR="00E62DDE" w:rsidRPr="006974FB" w:rsidRDefault="00E62DDE" w:rsidP="00E62DDE">
      <w:pPr>
        <w:pStyle w:val="Heading1"/>
        <w:numPr>
          <w:ilvl w:val="0"/>
          <w:numId w:val="1"/>
        </w:numPr>
        <w:spacing w:line="276" w:lineRule="auto"/>
        <w:rPr>
          <w:rFonts w:ascii="Sylfaen" w:hAnsi="Sylfaen"/>
          <w:b/>
          <w:sz w:val="28"/>
          <w:lang w:val="ka-GE"/>
        </w:rPr>
      </w:pPr>
      <w:bookmarkStart w:id="4" w:name="_Toc83927013"/>
      <w:r w:rsidRPr="006974FB">
        <w:rPr>
          <w:rFonts w:ascii="Sylfaen" w:hAnsi="Sylfaen" w:cs="Sylfaen"/>
          <w:b/>
          <w:sz w:val="28"/>
          <w:lang w:val="ka-GE"/>
        </w:rPr>
        <w:t>მთავრობის</w:t>
      </w:r>
      <w:r w:rsidRPr="006974FB">
        <w:rPr>
          <w:rFonts w:ascii="Sylfaen" w:hAnsi="Sylfaen"/>
          <w:b/>
          <w:sz w:val="28"/>
          <w:lang w:val="ka-GE"/>
        </w:rPr>
        <w:t xml:space="preserve"> ვალი</w:t>
      </w:r>
      <w:bookmarkEnd w:id="4"/>
    </w:p>
    <w:p w:rsidR="00E62DDE" w:rsidRDefault="00E62DDE" w:rsidP="00E62DDE">
      <w:pPr>
        <w:spacing w:line="276" w:lineRule="auto"/>
        <w:rPr>
          <w:rFonts w:ascii="Sylfaen" w:hAnsi="Sylfaen"/>
          <w:lang w:val="ka-GE"/>
        </w:rPr>
      </w:pPr>
    </w:p>
    <w:tbl>
      <w:tblPr>
        <w:tblW w:w="5000" w:type="pct"/>
        <w:tblLook w:val="04A0" w:firstRow="1" w:lastRow="0" w:firstColumn="1" w:lastColumn="0" w:noHBand="0" w:noVBand="1"/>
      </w:tblPr>
      <w:tblGrid>
        <w:gridCol w:w="4591"/>
        <w:gridCol w:w="882"/>
        <w:gridCol w:w="882"/>
        <w:gridCol w:w="882"/>
        <w:gridCol w:w="881"/>
        <w:gridCol w:w="881"/>
        <w:gridCol w:w="881"/>
      </w:tblGrid>
      <w:tr w:rsidR="00117581" w:rsidRPr="00117581" w:rsidTr="00117581">
        <w:trPr>
          <w:trHeight w:val="510"/>
        </w:trPr>
        <w:tc>
          <w:tcPr>
            <w:tcW w:w="2323"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Sylfaen" w:eastAsia="Times New Roman" w:hAnsi="Sylfaen" w:cs="Arial"/>
                <w:b/>
                <w:bCs/>
                <w:color w:val="000000"/>
                <w:sz w:val="18"/>
                <w:szCs w:val="18"/>
              </w:rPr>
            </w:pPr>
            <w:r w:rsidRPr="00117581">
              <w:rPr>
                <w:rFonts w:ascii="Sylfaen" w:eastAsia="Times New Roman" w:hAnsi="Sylfaen" w:cs="Arial"/>
                <w:b/>
                <w:bCs/>
                <w:color w:val="000000"/>
                <w:sz w:val="18"/>
                <w:szCs w:val="18"/>
              </w:rPr>
              <w:t>მთავრობის ვალი (მლნ ლარი)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117581" w:rsidRPr="00117581" w:rsidRDefault="00117581" w:rsidP="00117581">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2020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117581" w:rsidRPr="00117581" w:rsidRDefault="00117581" w:rsidP="00117581">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2021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117581" w:rsidRPr="00117581" w:rsidRDefault="00117581" w:rsidP="00117581">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2022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117581" w:rsidRPr="00117581" w:rsidRDefault="00117581" w:rsidP="00117581">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2023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117581" w:rsidRPr="00117581" w:rsidRDefault="00117581" w:rsidP="00117581">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2024 </w:t>
            </w:r>
            <w:r w:rsidRPr="00117581">
              <w:rPr>
                <w:rFonts w:ascii="Sylfaen" w:eastAsia="Times New Roman" w:hAnsi="Sylfaen" w:cs="Arial"/>
                <w:b/>
                <w:bCs/>
                <w:color w:val="000000"/>
                <w:sz w:val="18"/>
                <w:szCs w:val="18"/>
              </w:rPr>
              <w:t>წელი</w:t>
            </w:r>
          </w:p>
        </w:tc>
        <w:tc>
          <w:tcPr>
            <w:tcW w:w="446" w:type="pct"/>
            <w:tcBorders>
              <w:top w:val="single" w:sz="8" w:space="0" w:color="A5A5A5"/>
              <w:left w:val="nil"/>
              <w:bottom w:val="single" w:sz="8" w:space="0" w:color="A5A5A5"/>
              <w:right w:val="single" w:sz="8" w:space="0" w:color="A5A5A5"/>
            </w:tcBorders>
            <w:shd w:val="clear" w:color="000000" w:fill="FFFFFF"/>
            <w:vAlign w:val="center"/>
            <w:hideMark/>
          </w:tcPr>
          <w:p w:rsidR="00117581" w:rsidRPr="00117581" w:rsidRDefault="00117581" w:rsidP="00117581">
            <w:pPr>
              <w:spacing w:after="0" w:line="240" w:lineRule="auto"/>
              <w:jc w:val="center"/>
              <w:rPr>
                <w:rFonts w:ascii="Arial" w:eastAsia="Times New Roman" w:hAnsi="Arial" w:cs="Arial"/>
                <w:b/>
                <w:bCs/>
                <w:color w:val="000000"/>
                <w:sz w:val="18"/>
                <w:szCs w:val="18"/>
              </w:rPr>
            </w:pPr>
            <w:r w:rsidRPr="00117581">
              <w:rPr>
                <w:rFonts w:ascii="Arial" w:eastAsia="Times New Roman" w:hAnsi="Arial" w:cs="Arial"/>
                <w:b/>
                <w:bCs/>
                <w:color w:val="000000"/>
                <w:sz w:val="18"/>
                <w:szCs w:val="18"/>
              </w:rPr>
              <w:t xml:space="preserve">2025 </w:t>
            </w:r>
            <w:r w:rsidRPr="00117581">
              <w:rPr>
                <w:rFonts w:ascii="Sylfaen" w:eastAsia="Times New Roman" w:hAnsi="Sylfaen" w:cs="Arial"/>
                <w:b/>
                <w:bCs/>
                <w:color w:val="000000"/>
                <w:sz w:val="18"/>
                <w:szCs w:val="18"/>
              </w:rPr>
              <w:t>წელი</w:t>
            </w:r>
          </w:p>
        </w:tc>
      </w:tr>
      <w:tr w:rsidR="00117581" w:rsidRPr="00117581" w:rsidTr="00117581">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lang w:val="ka-GE"/>
              </w:rPr>
              <w:t>2021-2024 წლების პროგნოზი (2020 წლის დეკემბერი)</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29,569</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32,111</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34,119</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36,608</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color w:val="000000"/>
                <w:sz w:val="18"/>
                <w:szCs w:val="18"/>
              </w:rPr>
            </w:pPr>
            <w:r w:rsidRPr="00117581">
              <w:rPr>
                <w:rFonts w:ascii="Arial" w:eastAsia="Times New Roman" w:hAnsi="Arial" w:cs="Arial"/>
                <w:color w:val="000000"/>
                <w:sz w:val="18"/>
                <w:szCs w:val="18"/>
              </w:rPr>
              <w:t>39,504</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 </w:t>
            </w:r>
          </w:p>
        </w:tc>
      </w:tr>
      <w:tr w:rsidR="00117581" w:rsidRPr="00117581" w:rsidTr="00117581">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ind w:left="720"/>
              <w:jc w:val="both"/>
              <w:rPr>
                <w:rFonts w:ascii="Sylfaen" w:eastAsia="Times New Roman" w:hAnsi="Sylfaen" w:cs="Arial"/>
                <w:i/>
                <w:color w:val="000000"/>
                <w:sz w:val="18"/>
                <w:szCs w:val="18"/>
              </w:rPr>
            </w:pPr>
            <w:r w:rsidRPr="00117581">
              <w:rPr>
                <w:rFonts w:ascii="Sylfaen" w:eastAsia="Times New Roman" w:hAnsi="Sylfaen" w:cs="Arial"/>
                <w:i/>
                <w:color w:val="000000"/>
                <w:sz w:val="18"/>
                <w:szCs w:val="18"/>
              </w:rPr>
              <w:t>%-ად მშპ-თან</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59.9%</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60.1%</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58.6%</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57.8%</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57.6%</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 </w:t>
            </w:r>
          </w:p>
        </w:tc>
      </w:tr>
      <w:tr w:rsidR="00117581" w:rsidRPr="00117581" w:rsidTr="00117581">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rPr>
              <w:t>2022-2025 წლების პროგნოზი (2021 წლის ივლისი)</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29,654</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30,808</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33,598</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35,818</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37,878</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39,877</w:t>
            </w:r>
          </w:p>
        </w:tc>
      </w:tr>
      <w:tr w:rsidR="00117581" w:rsidRPr="00117581" w:rsidTr="00117581">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ind w:left="720"/>
              <w:jc w:val="both"/>
              <w:rPr>
                <w:rFonts w:ascii="Sylfaen" w:eastAsia="Times New Roman" w:hAnsi="Sylfaen" w:cs="Arial"/>
                <w:color w:val="000000"/>
                <w:sz w:val="18"/>
                <w:szCs w:val="18"/>
              </w:rPr>
            </w:pP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ად</w:t>
            </w:r>
            <w:r w:rsidRPr="00117581">
              <w:rPr>
                <w:rFonts w:ascii="Sylfaen" w:eastAsia="Times New Roman" w:hAnsi="Sylfaen" w:cs="Arial"/>
                <w:i/>
                <w:color w:val="000000"/>
                <w:sz w:val="18"/>
                <w:szCs w:val="18"/>
              </w:rPr>
              <w:t xml:space="preserve"> </w:t>
            </w:r>
            <w:r w:rsidRPr="00117581">
              <w:rPr>
                <w:rFonts w:ascii="Sylfaen" w:eastAsia="Times New Roman" w:hAnsi="Sylfaen" w:cs="Sylfaen"/>
                <w:i/>
                <w:color w:val="000000"/>
                <w:sz w:val="18"/>
                <w:szCs w:val="18"/>
              </w:rPr>
              <w:t>მშპ</w:t>
            </w: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თან</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60.0%</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53.8%</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52.9%</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51.3%</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49.9%</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48.6%</w:t>
            </w:r>
          </w:p>
        </w:tc>
      </w:tr>
      <w:tr w:rsidR="00117581" w:rsidRPr="00117581" w:rsidTr="00117581">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both"/>
              <w:rPr>
                <w:rFonts w:ascii="Sylfaen" w:eastAsia="Times New Roman" w:hAnsi="Sylfaen" w:cs="Arial"/>
                <w:color w:val="000000"/>
                <w:sz w:val="18"/>
                <w:szCs w:val="18"/>
              </w:rPr>
            </w:pPr>
            <w:r w:rsidRPr="00117581">
              <w:rPr>
                <w:rFonts w:ascii="Sylfaen" w:eastAsia="Times New Roman" w:hAnsi="Sylfaen" w:cs="Arial"/>
                <w:color w:val="000000"/>
                <w:sz w:val="18"/>
                <w:szCs w:val="18"/>
              </w:rPr>
              <w:t>2022-2025 წლები (2021 წლის სექტემბერი)</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29,654</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30,503</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33,736</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35,956</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38,016</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sz w:val="18"/>
                <w:szCs w:val="18"/>
              </w:rPr>
            </w:pPr>
            <w:r w:rsidRPr="00117581">
              <w:rPr>
                <w:rFonts w:ascii="Arial" w:eastAsia="Times New Roman" w:hAnsi="Arial" w:cs="Arial"/>
                <w:sz w:val="18"/>
                <w:szCs w:val="20"/>
              </w:rPr>
              <w:t>40,015</w:t>
            </w:r>
          </w:p>
        </w:tc>
      </w:tr>
      <w:tr w:rsidR="00117581" w:rsidRPr="00117581" w:rsidTr="00117581">
        <w:trPr>
          <w:trHeight w:val="270"/>
        </w:trPr>
        <w:tc>
          <w:tcPr>
            <w:tcW w:w="2323" w:type="pct"/>
            <w:tcBorders>
              <w:top w:val="nil"/>
              <w:left w:val="single" w:sz="8" w:space="0" w:color="A5A5A5"/>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ind w:left="720"/>
              <w:jc w:val="both"/>
              <w:rPr>
                <w:rFonts w:ascii="Sylfaen" w:eastAsia="Times New Roman" w:hAnsi="Sylfaen" w:cs="Arial"/>
                <w:color w:val="000000"/>
                <w:sz w:val="18"/>
                <w:szCs w:val="18"/>
              </w:rPr>
            </w:pP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ად</w:t>
            </w:r>
            <w:r w:rsidRPr="00117581">
              <w:rPr>
                <w:rFonts w:ascii="Sylfaen" w:eastAsia="Times New Roman" w:hAnsi="Sylfaen" w:cs="Arial"/>
                <w:i/>
                <w:color w:val="000000"/>
                <w:sz w:val="18"/>
                <w:szCs w:val="18"/>
              </w:rPr>
              <w:t xml:space="preserve"> </w:t>
            </w:r>
            <w:r w:rsidRPr="00117581">
              <w:rPr>
                <w:rFonts w:ascii="Sylfaen" w:eastAsia="Times New Roman" w:hAnsi="Sylfaen" w:cs="Sylfaen"/>
                <w:i/>
                <w:color w:val="000000"/>
                <w:sz w:val="18"/>
                <w:szCs w:val="18"/>
              </w:rPr>
              <w:t>მშპ</w:t>
            </w:r>
            <w:r w:rsidRPr="00117581">
              <w:rPr>
                <w:rFonts w:ascii="Sylfaen" w:eastAsia="Times New Roman" w:hAnsi="Sylfaen" w:cs="Arial"/>
                <w:i/>
                <w:color w:val="000000"/>
                <w:sz w:val="18"/>
                <w:szCs w:val="18"/>
              </w:rPr>
              <w:t>-</w:t>
            </w:r>
            <w:r w:rsidRPr="00117581">
              <w:rPr>
                <w:rFonts w:ascii="Sylfaen" w:eastAsia="Times New Roman" w:hAnsi="Sylfaen" w:cs="Sylfaen"/>
                <w:i/>
                <w:color w:val="000000"/>
                <w:sz w:val="18"/>
                <w:szCs w:val="18"/>
              </w:rPr>
              <w:t>თან</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60.02%</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52.2%</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52.1%</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51.1%</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49.9%</w:t>
            </w:r>
          </w:p>
        </w:tc>
        <w:tc>
          <w:tcPr>
            <w:tcW w:w="446" w:type="pct"/>
            <w:tcBorders>
              <w:top w:val="nil"/>
              <w:left w:val="nil"/>
              <w:bottom w:val="single" w:sz="8" w:space="0" w:color="A5A5A5"/>
              <w:right w:val="single" w:sz="8" w:space="0" w:color="A5A5A5"/>
            </w:tcBorders>
            <w:shd w:val="clear" w:color="auto" w:fill="auto"/>
            <w:vAlign w:val="center"/>
            <w:hideMark/>
          </w:tcPr>
          <w:p w:rsidR="00117581" w:rsidRPr="00117581" w:rsidRDefault="00117581" w:rsidP="00117581">
            <w:pPr>
              <w:spacing w:after="0" w:line="240" w:lineRule="auto"/>
              <w:jc w:val="center"/>
              <w:rPr>
                <w:rFonts w:ascii="Arial" w:eastAsia="Times New Roman" w:hAnsi="Arial" w:cs="Arial"/>
                <w:i/>
                <w:color w:val="000000"/>
                <w:sz w:val="18"/>
                <w:szCs w:val="18"/>
              </w:rPr>
            </w:pPr>
            <w:r w:rsidRPr="00117581">
              <w:rPr>
                <w:rFonts w:ascii="Arial" w:eastAsia="Times New Roman" w:hAnsi="Arial" w:cs="Arial"/>
                <w:i/>
                <w:color w:val="000000"/>
                <w:sz w:val="18"/>
                <w:szCs w:val="18"/>
                <w:lang w:val="ka-GE"/>
              </w:rPr>
              <w:t>48.5%</w:t>
            </w:r>
          </w:p>
        </w:tc>
      </w:tr>
    </w:tbl>
    <w:p w:rsidR="00117581" w:rsidRDefault="00117581" w:rsidP="00BC7AD9">
      <w:pPr>
        <w:pStyle w:val="NoSpacing"/>
        <w:spacing w:line="276" w:lineRule="auto"/>
        <w:ind w:firstLine="720"/>
        <w:jc w:val="both"/>
        <w:rPr>
          <w:rFonts w:ascii="Sylfaen" w:hAnsi="Sylfaen"/>
          <w:lang w:val="ka-GE"/>
        </w:rPr>
      </w:pPr>
    </w:p>
    <w:p w:rsidR="00BC7AD9" w:rsidRPr="005B7894" w:rsidRDefault="00BC7AD9" w:rsidP="00BC7AD9">
      <w:pPr>
        <w:pStyle w:val="NoSpacing"/>
        <w:spacing w:line="276" w:lineRule="auto"/>
        <w:ind w:firstLine="720"/>
        <w:jc w:val="both"/>
        <w:rPr>
          <w:rFonts w:ascii="Sylfaen" w:hAnsi="Sylfaen"/>
        </w:rPr>
      </w:pPr>
      <w:r w:rsidRPr="00733151">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w:t>
      </w:r>
      <w:r>
        <w:rPr>
          <w:rFonts w:ascii="Sylfaen" w:hAnsi="Sylfaen"/>
          <w:lang w:val="ka-GE"/>
        </w:rPr>
        <w:t>2021 წლის განმავლობაში ეკონომიკური მაჩვენებლების გაუმჯობესების გამო. აღსანიშნავია, რომ 2021 წლის ბოლოს მდგომარეობით ეკონომიკის რეალური ზრდა მოსალოდნელია 9.5%-ის ნიშნულზე. ასევე, მშპ დეფლატორის ცვლილება მოსალოდნელია 8.0%-ის დონეზე. ამასთანავე, 2021 წლის ბოლოსთვის, 2020 წლის დეკემბრის ბოლოსთან  შედარებით, მოსალოდნელია ლარის გამყარება ვალის პორტფელში არსებული ვალუტების მიმართ. აღსანიშნავია, რომ მთავრობის საგარეო წმინდა სესხება 2021 წლისთვის დაგეგმილია 2,580 მლნ ლარის ფარგლებში, ლარის კურსის გამყარების გამო საგარეო ვალი აღნიშნულ პერიოდში მცირდება 1,</w:t>
      </w:r>
      <w:r>
        <w:rPr>
          <w:rFonts w:ascii="Sylfaen" w:hAnsi="Sylfaen"/>
        </w:rPr>
        <w:t>382</w:t>
      </w:r>
      <w:r>
        <w:rPr>
          <w:rFonts w:ascii="Sylfaen" w:hAnsi="Sylfaen"/>
          <w:lang w:val="ka-GE"/>
        </w:rPr>
        <w:t xml:space="preserve"> მლნ ლარით, რაც ზრდის საგარეო ვალს 1,</w:t>
      </w:r>
      <w:r>
        <w:rPr>
          <w:rFonts w:ascii="Sylfaen" w:hAnsi="Sylfaen"/>
        </w:rPr>
        <w:t>198</w:t>
      </w:r>
      <w:r>
        <w:rPr>
          <w:rFonts w:ascii="Sylfaen" w:hAnsi="Sylfaen"/>
          <w:lang w:val="ka-GE"/>
        </w:rPr>
        <w:t xml:space="preserve"> (2,580-1,382=1,198) მლნ ლარით ნაცვლად 2,580 მლნ ლარისა. ყოველივე ზემოხსენებულს აქვს დადებითი გავლენა მთავრობის ვალის მშპ-თან ფარდობის შემცირების მიმართულებით. შედეგად, 2021 წლის ბოლოს ვალის მშპ-თან ფარდობის შემცირება მოსალოდნელია 52.2%-მდე. ვალის მშპ-თან ფარდობის შემცირება პროგნოზირებულია შემდეგ წლებშიც, 2025 წლის ბოლოს აღნიშნული მაჩვენებელი ჩამოვა 48.</w:t>
      </w:r>
      <w:r>
        <w:rPr>
          <w:rFonts w:ascii="Sylfaen" w:hAnsi="Sylfaen"/>
        </w:rPr>
        <w:t>5</w:t>
      </w:r>
      <w:r>
        <w:rPr>
          <w:rFonts w:ascii="Sylfaen" w:hAnsi="Sylfaen"/>
          <w:lang w:val="ka-GE"/>
        </w:rPr>
        <w:t>%-მდე.</w:t>
      </w:r>
    </w:p>
    <w:p w:rsidR="00BC7AD9" w:rsidRDefault="00BC7AD9" w:rsidP="00BC7AD9">
      <w:pPr>
        <w:pStyle w:val="NoSpacing"/>
        <w:spacing w:line="276" w:lineRule="auto"/>
        <w:ind w:firstLine="720"/>
        <w:jc w:val="both"/>
        <w:rPr>
          <w:rFonts w:ascii="Sylfaen" w:hAnsi="Sylfaen"/>
          <w:lang w:val="ka-GE"/>
        </w:rPr>
      </w:pPr>
      <w:r w:rsidRPr="00862492">
        <w:rPr>
          <w:rFonts w:ascii="Sylfaen" w:hAnsi="Sylfaen"/>
          <w:lang w:val="ka-GE"/>
        </w:rPr>
        <w:t>2020 წლის განმავლობაში, გლობალური პანდემიიდან და ნეგატიური ეკონომიკური სცენარისთვის მზადებიდან გამომდინარე, მოხდა დონორული დაფინანსების მობილიზება 2020-2021 წლების ანტიკრიზისული საჭიროებებისათვის. შედეგად, 2020 წლის ბოლოსთვის ხაზინის ერთიან ანგარიშზე დაგროვდა მნიშვნელოვანი მოცულობის</w:t>
      </w:r>
      <w:r>
        <w:rPr>
          <w:rFonts w:ascii="Sylfaen" w:hAnsi="Sylfaen"/>
          <w:lang w:val="ka-GE"/>
        </w:rPr>
        <w:t xml:space="preserve"> ნაშთი</w:t>
      </w:r>
      <w:r w:rsidRPr="00733151">
        <w:rPr>
          <w:rFonts w:ascii="Sylfaen" w:hAnsi="Sylfaen"/>
          <w:lang w:val="ka-GE"/>
        </w:rPr>
        <w:t xml:space="preserve"> (ფისკალური ბუფერი</w:t>
      </w:r>
      <w:r>
        <w:rPr>
          <w:rFonts w:ascii="Sylfaen" w:hAnsi="Sylfaen"/>
          <w:lang w:val="ka-GE"/>
        </w:rPr>
        <w:t xml:space="preserve"> - 1722 მლნ ლარი</w:t>
      </w:r>
      <w:r w:rsidRPr="00733151">
        <w:rPr>
          <w:rFonts w:ascii="Sylfaen" w:hAnsi="Sylfaen"/>
          <w:lang w:val="ka-GE"/>
        </w:rPr>
        <w:t>)</w:t>
      </w:r>
      <w:r>
        <w:rPr>
          <w:rFonts w:ascii="Sylfaen" w:hAnsi="Sylfaen"/>
          <w:lang w:val="ka-GE"/>
        </w:rPr>
        <w:t xml:space="preserve">. დაგროვილი ნაშთის გამოყენება ხდება 2021 წლის განმავლობაში (1570 მლნ ლარი). დაგეგმილია ადგილობრივ ბაზარზე სახაზინო ფასიანი ქაღალდების წმინდა </w:t>
      </w:r>
      <w:r w:rsidRPr="00702386">
        <w:rPr>
          <w:rFonts w:ascii="Sylfaen" w:hAnsi="Sylfaen"/>
          <w:lang w:val="ka-GE"/>
        </w:rPr>
        <w:t xml:space="preserve">გამოშვება </w:t>
      </w:r>
      <w:r w:rsidRPr="00702386">
        <w:rPr>
          <w:rFonts w:ascii="Sylfaen" w:hAnsi="Sylfaen"/>
        </w:rPr>
        <w:t xml:space="preserve"> (</w:t>
      </w:r>
      <w:r w:rsidRPr="00702386">
        <w:rPr>
          <w:rFonts w:ascii="Sylfaen" w:hAnsi="Sylfaen"/>
          <w:lang w:val="ka-GE"/>
        </w:rPr>
        <w:t>-</w:t>
      </w:r>
      <w:r w:rsidRPr="00702386">
        <w:rPr>
          <w:rFonts w:ascii="Sylfaen" w:hAnsi="Sylfaen"/>
        </w:rPr>
        <w:t>15</w:t>
      </w:r>
      <w:r w:rsidRPr="00702386">
        <w:rPr>
          <w:rFonts w:ascii="Sylfaen" w:hAnsi="Sylfaen"/>
          <w:lang w:val="ka-GE"/>
        </w:rPr>
        <w:t>0</w:t>
      </w:r>
      <w:r w:rsidRPr="00702386">
        <w:rPr>
          <w:rFonts w:ascii="Sylfaen" w:hAnsi="Sylfaen"/>
        </w:rPr>
        <w:t>)</w:t>
      </w:r>
      <w:r w:rsidRPr="00702386">
        <w:rPr>
          <w:rFonts w:ascii="Sylfaen" w:hAnsi="Sylfaen"/>
          <w:lang w:val="ka-GE"/>
        </w:rPr>
        <w:t xml:space="preserve"> მლნ</w:t>
      </w:r>
      <w:r>
        <w:rPr>
          <w:rFonts w:ascii="Sylfaen" w:hAnsi="Sylfaen"/>
          <w:lang w:val="ka-GE"/>
        </w:rPr>
        <w:t xml:space="preserve"> ლარის დონეზე, რაც დამატებით ხელს უწყობს მთავრობის ვალის მოცულობის შემცირებას</w:t>
      </w:r>
      <w:r w:rsidR="00702386">
        <w:rPr>
          <w:rFonts w:ascii="Sylfaen" w:hAnsi="Sylfaen"/>
          <w:lang w:val="ka-GE"/>
        </w:rPr>
        <w:t xml:space="preserve">, თუმცა არსებული გრაფიკის მიხედვით </w:t>
      </w:r>
      <w:r w:rsidR="00117581">
        <w:rPr>
          <w:rFonts w:ascii="Sylfaen" w:hAnsi="Sylfaen"/>
          <w:lang w:val="ka-GE"/>
        </w:rPr>
        <w:t>იქნება</w:t>
      </w:r>
      <w:r w:rsidR="00702386">
        <w:rPr>
          <w:rFonts w:ascii="Sylfaen" w:hAnsi="Sylfaen"/>
          <w:lang w:val="ka-GE"/>
        </w:rPr>
        <w:t xml:space="preserve"> (-300) მლნ ლარის დონეზე</w:t>
      </w:r>
      <w:r>
        <w:rPr>
          <w:rFonts w:ascii="Sylfaen" w:hAnsi="Sylfaen"/>
          <w:lang w:val="ka-GE"/>
        </w:rPr>
        <w:t xml:space="preserve">. </w:t>
      </w:r>
      <w:r w:rsidRPr="00733151">
        <w:rPr>
          <w:rFonts w:ascii="Sylfaen" w:hAnsi="Sylfaen"/>
          <w:lang w:val="ka-GE"/>
        </w:rPr>
        <w:t xml:space="preserve"> </w:t>
      </w:r>
    </w:p>
    <w:p w:rsidR="00BC7AD9" w:rsidRPr="00307164" w:rsidRDefault="00BC7AD9" w:rsidP="00BC7AD9">
      <w:pPr>
        <w:pStyle w:val="NoSpacing"/>
        <w:spacing w:line="276" w:lineRule="auto"/>
        <w:ind w:firstLine="720"/>
        <w:jc w:val="both"/>
        <w:rPr>
          <w:rFonts w:ascii="Sylfaen" w:hAnsi="Sylfaen"/>
          <w:b/>
        </w:rPr>
      </w:pPr>
      <w:r w:rsidRPr="00B07C1C">
        <w:rPr>
          <w:rFonts w:ascii="Sylfaen" w:hAnsi="Sylfaen"/>
          <w:lang w:val="ka-GE"/>
        </w:rPr>
        <w:t xml:space="preserve">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(2020 წლისთვის - 79%), რის შედეგადაც ვალის მაჩვენებლები მოწყვლადია სავალუტო კურსის ნეგატიური შოკების მიმართ. </w:t>
      </w:r>
      <w:r>
        <w:rPr>
          <w:rFonts w:ascii="Sylfaen" w:hAnsi="Sylfaen"/>
          <w:lang w:val="ka-GE"/>
        </w:rPr>
        <w:t xml:space="preserve">შესაბამისად, მთავრობის ვალის მართვის პოლიტიკა (განახლბული სახელმწიფო ვალის სტრატეგიის შესაბამისად, რომელზეც მუშაობა მიმდინარეობს) საშუალო და გრძელვადიან პერიოდში, ვალის მშპ-თან ფარდობის შემცირებასთან ერთად, ორიენტირებული იქნება მთლიან ვალში საგარეო ვალის წილის შემცირებაზე. </w:t>
      </w:r>
    </w:p>
    <w:p w:rsidR="00E62DDE" w:rsidRPr="006974FB" w:rsidRDefault="00E62DDE" w:rsidP="00E62DDE">
      <w:pPr>
        <w:pStyle w:val="NoSpacing"/>
        <w:spacing w:line="276" w:lineRule="auto"/>
        <w:ind w:firstLine="720"/>
        <w:jc w:val="both"/>
        <w:rPr>
          <w:rFonts w:ascii="Sylfaen" w:hAnsi="Sylfaen"/>
          <w:lang w:val="ka-GE"/>
        </w:rPr>
      </w:pPr>
    </w:p>
    <w:sectPr w:rsidR="00E62DDE" w:rsidRPr="006974FB" w:rsidSect="00211AB2">
      <w:footerReference w:type="default" r:id="rId8"/>
      <w:pgSz w:w="12240" w:h="15840"/>
      <w:pgMar w:top="630" w:right="900" w:bottom="113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725" w:rsidRDefault="00595725" w:rsidP="009F60D8">
      <w:pPr>
        <w:spacing w:after="0" w:line="240" w:lineRule="auto"/>
      </w:pPr>
      <w:r>
        <w:separator/>
      </w:r>
    </w:p>
  </w:endnote>
  <w:endnote w:type="continuationSeparator" w:id="0">
    <w:p w:rsidR="00595725" w:rsidRDefault="00595725"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5000205B" w:usb2="00000001"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702386" w:rsidRDefault="00702386">
        <w:pPr>
          <w:pStyle w:val="Footer"/>
          <w:jc w:val="right"/>
        </w:pPr>
        <w:r>
          <w:fldChar w:fldCharType="begin"/>
        </w:r>
        <w:r>
          <w:instrText xml:space="preserve"> PAGE   \* MERGEFORMAT </w:instrText>
        </w:r>
        <w:r>
          <w:fldChar w:fldCharType="separate"/>
        </w:r>
        <w:r w:rsidR="00B00AE7">
          <w:rPr>
            <w:noProof/>
          </w:rPr>
          <w:t>15</w:t>
        </w:r>
        <w:r>
          <w:rPr>
            <w:noProof/>
          </w:rPr>
          <w:fldChar w:fldCharType="end"/>
        </w:r>
      </w:p>
    </w:sdtContent>
  </w:sdt>
  <w:p w:rsidR="00702386" w:rsidRDefault="0070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725" w:rsidRDefault="00595725" w:rsidP="009F60D8">
      <w:pPr>
        <w:spacing w:after="0" w:line="240" w:lineRule="auto"/>
      </w:pPr>
      <w:r>
        <w:separator/>
      </w:r>
    </w:p>
  </w:footnote>
  <w:footnote w:type="continuationSeparator" w:id="0">
    <w:p w:rsidR="00595725" w:rsidRDefault="00595725" w:rsidP="009F60D8">
      <w:pPr>
        <w:spacing w:after="0" w:line="240" w:lineRule="auto"/>
      </w:pPr>
      <w:r>
        <w:continuationSeparator/>
      </w:r>
    </w:p>
  </w:footnote>
  <w:footnote w:id="1">
    <w:p w:rsidR="00702386" w:rsidRPr="00246230" w:rsidRDefault="00702386">
      <w:pPr>
        <w:pStyle w:val="FootnoteText"/>
        <w:rPr>
          <w:lang w:val="ka-GE"/>
        </w:rPr>
      </w:pPr>
      <w:r>
        <w:rPr>
          <w:rStyle w:val="FootnoteReference"/>
        </w:rPr>
        <w:footnoteRef/>
      </w:r>
      <w:r>
        <w:t xml:space="preserve"> </w:t>
      </w:r>
      <w:r w:rsidRPr="002026E6">
        <w:t>https://mof.ge/5439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5"/>
  </w:num>
  <w:num w:numId="6">
    <w:abstractNumId w:val="1"/>
  </w:num>
  <w:num w:numId="7">
    <w:abstractNumId w:val="7"/>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14376"/>
    <w:rsid w:val="00017173"/>
    <w:rsid w:val="0002038B"/>
    <w:rsid w:val="00024261"/>
    <w:rsid w:val="00036ADB"/>
    <w:rsid w:val="00037A9D"/>
    <w:rsid w:val="0004003E"/>
    <w:rsid w:val="00044987"/>
    <w:rsid w:val="0005192A"/>
    <w:rsid w:val="0005717F"/>
    <w:rsid w:val="000620EC"/>
    <w:rsid w:val="000704E9"/>
    <w:rsid w:val="00074809"/>
    <w:rsid w:val="00077298"/>
    <w:rsid w:val="00091428"/>
    <w:rsid w:val="0009185A"/>
    <w:rsid w:val="00094934"/>
    <w:rsid w:val="000A29E6"/>
    <w:rsid w:val="000A565D"/>
    <w:rsid w:val="000C004C"/>
    <w:rsid w:val="000C3985"/>
    <w:rsid w:val="000C5D40"/>
    <w:rsid w:val="000C7E80"/>
    <w:rsid w:val="000D1A8A"/>
    <w:rsid w:val="000D1ED1"/>
    <w:rsid w:val="000D44F3"/>
    <w:rsid w:val="000E0266"/>
    <w:rsid w:val="000E416B"/>
    <w:rsid w:val="000E4929"/>
    <w:rsid w:val="000F09D1"/>
    <w:rsid w:val="000F104E"/>
    <w:rsid w:val="0010193C"/>
    <w:rsid w:val="001062A1"/>
    <w:rsid w:val="001129AB"/>
    <w:rsid w:val="00113698"/>
    <w:rsid w:val="00114D91"/>
    <w:rsid w:val="00117581"/>
    <w:rsid w:val="0012041B"/>
    <w:rsid w:val="0012199F"/>
    <w:rsid w:val="00122660"/>
    <w:rsid w:val="00131827"/>
    <w:rsid w:val="001344A0"/>
    <w:rsid w:val="0014071C"/>
    <w:rsid w:val="00142836"/>
    <w:rsid w:val="001476AE"/>
    <w:rsid w:val="0015245E"/>
    <w:rsid w:val="00160CFD"/>
    <w:rsid w:val="00164376"/>
    <w:rsid w:val="0016442C"/>
    <w:rsid w:val="00172AEE"/>
    <w:rsid w:val="00176389"/>
    <w:rsid w:val="00187569"/>
    <w:rsid w:val="001875B2"/>
    <w:rsid w:val="001A228B"/>
    <w:rsid w:val="001A603A"/>
    <w:rsid w:val="001B0ADE"/>
    <w:rsid w:val="001B1BB4"/>
    <w:rsid w:val="001B7A8C"/>
    <w:rsid w:val="001B7D87"/>
    <w:rsid w:val="001C347E"/>
    <w:rsid w:val="001D1413"/>
    <w:rsid w:val="001E1A9C"/>
    <w:rsid w:val="001F08E6"/>
    <w:rsid w:val="001F4868"/>
    <w:rsid w:val="002026E6"/>
    <w:rsid w:val="00204779"/>
    <w:rsid w:val="002054CC"/>
    <w:rsid w:val="00211AB2"/>
    <w:rsid w:val="002141D8"/>
    <w:rsid w:val="00215558"/>
    <w:rsid w:val="0021708C"/>
    <w:rsid w:val="00220829"/>
    <w:rsid w:val="00220F8D"/>
    <w:rsid w:val="00225C05"/>
    <w:rsid w:val="002404B2"/>
    <w:rsid w:val="00240C12"/>
    <w:rsid w:val="0024220D"/>
    <w:rsid w:val="002429D0"/>
    <w:rsid w:val="0024333D"/>
    <w:rsid w:val="00246230"/>
    <w:rsid w:val="00250276"/>
    <w:rsid w:val="00261AE4"/>
    <w:rsid w:val="00263D13"/>
    <w:rsid w:val="00267A13"/>
    <w:rsid w:val="002807FA"/>
    <w:rsid w:val="00292E98"/>
    <w:rsid w:val="002B7BCD"/>
    <w:rsid w:val="002E1420"/>
    <w:rsid w:val="002F1C52"/>
    <w:rsid w:val="003048EB"/>
    <w:rsid w:val="00304B4F"/>
    <w:rsid w:val="00306448"/>
    <w:rsid w:val="00311AE3"/>
    <w:rsid w:val="00322417"/>
    <w:rsid w:val="00332395"/>
    <w:rsid w:val="003333F7"/>
    <w:rsid w:val="00334A00"/>
    <w:rsid w:val="00335BCF"/>
    <w:rsid w:val="00336F8C"/>
    <w:rsid w:val="0034327C"/>
    <w:rsid w:val="0035579C"/>
    <w:rsid w:val="00355B59"/>
    <w:rsid w:val="00355C21"/>
    <w:rsid w:val="0035700F"/>
    <w:rsid w:val="00360521"/>
    <w:rsid w:val="003663AE"/>
    <w:rsid w:val="00370834"/>
    <w:rsid w:val="003813E0"/>
    <w:rsid w:val="00391A33"/>
    <w:rsid w:val="00393A09"/>
    <w:rsid w:val="00395712"/>
    <w:rsid w:val="003A2E8C"/>
    <w:rsid w:val="003A3D02"/>
    <w:rsid w:val="003A51E0"/>
    <w:rsid w:val="003B08BE"/>
    <w:rsid w:val="003B3497"/>
    <w:rsid w:val="003B349A"/>
    <w:rsid w:val="003C0B4E"/>
    <w:rsid w:val="003C22EC"/>
    <w:rsid w:val="003C3FC5"/>
    <w:rsid w:val="003D244E"/>
    <w:rsid w:val="003D36A8"/>
    <w:rsid w:val="003D380D"/>
    <w:rsid w:val="003D62EE"/>
    <w:rsid w:val="003D77D7"/>
    <w:rsid w:val="003E39B9"/>
    <w:rsid w:val="003E631B"/>
    <w:rsid w:val="003E78CE"/>
    <w:rsid w:val="003F2DF1"/>
    <w:rsid w:val="003F4774"/>
    <w:rsid w:val="003F53B1"/>
    <w:rsid w:val="003F57B5"/>
    <w:rsid w:val="003F596F"/>
    <w:rsid w:val="00403068"/>
    <w:rsid w:val="00404E8F"/>
    <w:rsid w:val="0041284B"/>
    <w:rsid w:val="00420EC8"/>
    <w:rsid w:val="0042677B"/>
    <w:rsid w:val="00431DB1"/>
    <w:rsid w:val="00436064"/>
    <w:rsid w:val="0044579A"/>
    <w:rsid w:val="00452AC8"/>
    <w:rsid w:val="0045636A"/>
    <w:rsid w:val="00457F1D"/>
    <w:rsid w:val="004654A1"/>
    <w:rsid w:val="0046628B"/>
    <w:rsid w:val="00470304"/>
    <w:rsid w:val="00475FE9"/>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500A72"/>
    <w:rsid w:val="005025C2"/>
    <w:rsid w:val="0050358D"/>
    <w:rsid w:val="00510A8E"/>
    <w:rsid w:val="00510BB6"/>
    <w:rsid w:val="005166A3"/>
    <w:rsid w:val="0052418D"/>
    <w:rsid w:val="00526BEC"/>
    <w:rsid w:val="00542BAD"/>
    <w:rsid w:val="005472B6"/>
    <w:rsid w:val="00553CBE"/>
    <w:rsid w:val="00557078"/>
    <w:rsid w:val="00560152"/>
    <w:rsid w:val="00561553"/>
    <w:rsid w:val="00573B92"/>
    <w:rsid w:val="00585FF0"/>
    <w:rsid w:val="00587368"/>
    <w:rsid w:val="005919D2"/>
    <w:rsid w:val="00595725"/>
    <w:rsid w:val="00597F97"/>
    <w:rsid w:val="005A7824"/>
    <w:rsid w:val="005B1C09"/>
    <w:rsid w:val="005B365D"/>
    <w:rsid w:val="005C3422"/>
    <w:rsid w:val="005C3DED"/>
    <w:rsid w:val="005C49CA"/>
    <w:rsid w:val="005C7DFB"/>
    <w:rsid w:val="005E0AEF"/>
    <w:rsid w:val="005E18E6"/>
    <w:rsid w:val="005E1D74"/>
    <w:rsid w:val="005F2DAC"/>
    <w:rsid w:val="005F4177"/>
    <w:rsid w:val="006004B7"/>
    <w:rsid w:val="00606701"/>
    <w:rsid w:val="0061130B"/>
    <w:rsid w:val="00637FC7"/>
    <w:rsid w:val="0064560E"/>
    <w:rsid w:val="00647038"/>
    <w:rsid w:val="00650744"/>
    <w:rsid w:val="006609EF"/>
    <w:rsid w:val="00663E28"/>
    <w:rsid w:val="0067395F"/>
    <w:rsid w:val="0067433B"/>
    <w:rsid w:val="00674E6F"/>
    <w:rsid w:val="00680339"/>
    <w:rsid w:val="006904FA"/>
    <w:rsid w:val="00693CED"/>
    <w:rsid w:val="006A0158"/>
    <w:rsid w:val="006A22AE"/>
    <w:rsid w:val="006A3D51"/>
    <w:rsid w:val="006B5F06"/>
    <w:rsid w:val="006C2331"/>
    <w:rsid w:val="006C2752"/>
    <w:rsid w:val="006C47A8"/>
    <w:rsid w:val="006C6BD5"/>
    <w:rsid w:val="006D2445"/>
    <w:rsid w:val="006E2361"/>
    <w:rsid w:val="006E250D"/>
    <w:rsid w:val="006E3687"/>
    <w:rsid w:val="006E76DE"/>
    <w:rsid w:val="006F0703"/>
    <w:rsid w:val="006F1DBB"/>
    <w:rsid w:val="006F3B8D"/>
    <w:rsid w:val="006F5CB5"/>
    <w:rsid w:val="006F62AE"/>
    <w:rsid w:val="00702386"/>
    <w:rsid w:val="00702821"/>
    <w:rsid w:val="00704ED0"/>
    <w:rsid w:val="00707044"/>
    <w:rsid w:val="00711FD0"/>
    <w:rsid w:val="007126B3"/>
    <w:rsid w:val="0073343E"/>
    <w:rsid w:val="007366C4"/>
    <w:rsid w:val="00741617"/>
    <w:rsid w:val="00743CA7"/>
    <w:rsid w:val="0074751F"/>
    <w:rsid w:val="00773D36"/>
    <w:rsid w:val="00776610"/>
    <w:rsid w:val="00781209"/>
    <w:rsid w:val="00782ECE"/>
    <w:rsid w:val="00782ED6"/>
    <w:rsid w:val="00785FB9"/>
    <w:rsid w:val="00795AE8"/>
    <w:rsid w:val="007A37DE"/>
    <w:rsid w:val="007B0F7D"/>
    <w:rsid w:val="007B6B22"/>
    <w:rsid w:val="007B6E63"/>
    <w:rsid w:val="007C687D"/>
    <w:rsid w:val="007D46C3"/>
    <w:rsid w:val="007D6F01"/>
    <w:rsid w:val="007D7CE4"/>
    <w:rsid w:val="007E09D9"/>
    <w:rsid w:val="007E4307"/>
    <w:rsid w:val="007E4D42"/>
    <w:rsid w:val="007F39B0"/>
    <w:rsid w:val="007F5282"/>
    <w:rsid w:val="007F5447"/>
    <w:rsid w:val="007F66C1"/>
    <w:rsid w:val="00801DE9"/>
    <w:rsid w:val="0080412E"/>
    <w:rsid w:val="00805783"/>
    <w:rsid w:val="00806EBA"/>
    <w:rsid w:val="0080791C"/>
    <w:rsid w:val="00816DE6"/>
    <w:rsid w:val="00816F7E"/>
    <w:rsid w:val="00821A2A"/>
    <w:rsid w:val="00822AA8"/>
    <w:rsid w:val="0083288A"/>
    <w:rsid w:val="00836FD1"/>
    <w:rsid w:val="0084099F"/>
    <w:rsid w:val="00843136"/>
    <w:rsid w:val="00850F31"/>
    <w:rsid w:val="0085580C"/>
    <w:rsid w:val="00857B5A"/>
    <w:rsid w:val="00862507"/>
    <w:rsid w:val="008644B4"/>
    <w:rsid w:val="0087013E"/>
    <w:rsid w:val="00873562"/>
    <w:rsid w:val="008A4D2A"/>
    <w:rsid w:val="008B430C"/>
    <w:rsid w:val="008B73C0"/>
    <w:rsid w:val="008C5E23"/>
    <w:rsid w:val="008D01F4"/>
    <w:rsid w:val="008D0202"/>
    <w:rsid w:val="008D5276"/>
    <w:rsid w:val="008E1DC6"/>
    <w:rsid w:val="008E26E9"/>
    <w:rsid w:val="008E58FE"/>
    <w:rsid w:val="008E75CE"/>
    <w:rsid w:val="008F384A"/>
    <w:rsid w:val="00902BC5"/>
    <w:rsid w:val="00911CE0"/>
    <w:rsid w:val="00931509"/>
    <w:rsid w:val="009348D2"/>
    <w:rsid w:val="00936CC0"/>
    <w:rsid w:val="00936FE4"/>
    <w:rsid w:val="00945392"/>
    <w:rsid w:val="00952986"/>
    <w:rsid w:val="009610BF"/>
    <w:rsid w:val="009615ED"/>
    <w:rsid w:val="00965905"/>
    <w:rsid w:val="009661F8"/>
    <w:rsid w:val="00973762"/>
    <w:rsid w:val="00975572"/>
    <w:rsid w:val="00976756"/>
    <w:rsid w:val="00976C5B"/>
    <w:rsid w:val="00977AF3"/>
    <w:rsid w:val="00984BC1"/>
    <w:rsid w:val="0098503D"/>
    <w:rsid w:val="00986ED0"/>
    <w:rsid w:val="00987AAD"/>
    <w:rsid w:val="00994C04"/>
    <w:rsid w:val="00995E69"/>
    <w:rsid w:val="0099680C"/>
    <w:rsid w:val="009973A2"/>
    <w:rsid w:val="00997A30"/>
    <w:rsid w:val="009A50FB"/>
    <w:rsid w:val="009B2991"/>
    <w:rsid w:val="009B3A95"/>
    <w:rsid w:val="009B5D57"/>
    <w:rsid w:val="009C03FF"/>
    <w:rsid w:val="009C4B89"/>
    <w:rsid w:val="009C50FE"/>
    <w:rsid w:val="009C5631"/>
    <w:rsid w:val="009C683F"/>
    <w:rsid w:val="009D32A7"/>
    <w:rsid w:val="009D41D3"/>
    <w:rsid w:val="009D6C89"/>
    <w:rsid w:val="009F16D1"/>
    <w:rsid w:val="009F60D8"/>
    <w:rsid w:val="00A011F3"/>
    <w:rsid w:val="00A05BA2"/>
    <w:rsid w:val="00A176D1"/>
    <w:rsid w:val="00A20AC0"/>
    <w:rsid w:val="00A229BF"/>
    <w:rsid w:val="00A30D38"/>
    <w:rsid w:val="00A344A4"/>
    <w:rsid w:val="00A34F8C"/>
    <w:rsid w:val="00A35BF0"/>
    <w:rsid w:val="00A378D5"/>
    <w:rsid w:val="00A546A7"/>
    <w:rsid w:val="00A56744"/>
    <w:rsid w:val="00A60FDC"/>
    <w:rsid w:val="00A63808"/>
    <w:rsid w:val="00A6703D"/>
    <w:rsid w:val="00A67A05"/>
    <w:rsid w:val="00A816E3"/>
    <w:rsid w:val="00A84CB2"/>
    <w:rsid w:val="00A97679"/>
    <w:rsid w:val="00AA36AE"/>
    <w:rsid w:val="00AA4676"/>
    <w:rsid w:val="00AA5368"/>
    <w:rsid w:val="00AA5788"/>
    <w:rsid w:val="00AD4D9F"/>
    <w:rsid w:val="00AD5491"/>
    <w:rsid w:val="00AD738A"/>
    <w:rsid w:val="00AF23C1"/>
    <w:rsid w:val="00AF3C74"/>
    <w:rsid w:val="00B0075B"/>
    <w:rsid w:val="00B00AE7"/>
    <w:rsid w:val="00B020D2"/>
    <w:rsid w:val="00B10324"/>
    <w:rsid w:val="00B10C51"/>
    <w:rsid w:val="00B110BF"/>
    <w:rsid w:val="00B11DBC"/>
    <w:rsid w:val="00B120F5"/>
    <w:rsid w:val="00B14474"/>
    <w:rsid w:val="00B217EF"/>
    <w:rsid w:val="00B23CB5"/>
    <w:rsid w:val="00B30B4F"/>
    <w:rsid w:val="00B32541"/>
    <w:rsid w:val="00B429B2"/>
    <w:rsid w:val="00B43B65"/>
    <w:rsid w:val="00B453B3"/>
    <w:rsid w:val="00B50D9C"/>
    <w:rsid w:val="00B609ED"/>
    <w:rsid w:val="00B61517"/>
    <w:rsid w:val="00B652A8"/>
    <w:rsid w:val="00B6704B"/>
    <w:rsid w:val="00B82ABB"/>
    <w:rsid w:val="00B92C40"/>
    <w:rsid w:val="00B94BE7"/>
    <w:rsid w:val="00BA1519"/>
    <w:rsid w:val="00BA1C51"/>
    <w:rsid w:val="00BA22ED"/>
    <w:rsid w:val="00BA3346"/>
    <w:rsid w:val="00BA4E78"/>
    <w:rsid w:val="00BC3B7E"/>
    <w:rsid w:val="00BC4B17"/>
    <w:rsid w:val="00BC68CE"/>
    <w:rsid w:val="00BC7AD9"/>
    <w:rsid w:val="00BD48B6"/>
    <w:rsid w:val="00BD6FDA"/>
    <w:rsid w:val="00BE1861"/>
    <w:rsid w:val="00BE4CE5"/>
    <w:rsid w:val="00BF167C"/>
    <w:rsid w:val="00BF1E77"/>
    <w:rsid w:val="00C12DE3"/>
    <w:rsid w:val="00C13875"/>
    <w:rsid w:val="00C13CEB"/>
    <w:rsid w:val="00C24549"/>
    <w:rsid w:val="00C25447"/>
    <w:rsid w:val="00C302BD"/>
    <w:rsid w:val="00C551C7"/>
    <w:rsid w:val="00C64480"/>
    <w:rsid w:val="00C665F9"/>
    <w:rsid w:val="00C70029"/>
    <w:rsid w:val="00C71FCB"/>
    <w:rsid w:val="00C75BD8"/>
    <w:rsid w:val="00C76B9F"/>
    <w:rsid w:val="00C85296"/>
    <w:rsid w:val="00C8711F"/>
    <w:rsid w:val="00C91EBC"/>
    <w:rsid w:val="00C9780C"/>
    <w:rsid w:val="00CA3B82"/>
    <w:rsid w:val="00CB0B67"/>
    <w:rsid w:val="00CB204E"/>
    <w:rsid w:val="00CB5879"/>
    <w:rsid w:val="00CC180B"/>
    <w:rsid w:val="00CE495D"/>
    <w:rsid w:val="00CF227E"/>
    <w:rsid w:val="00CF6B03"/>
    <w:rsid w:val="00CF7B45"/>
    <w:rsid w:val="00D07174"/>
    <w:rsid w:val="00D07BAA"/>
    <w:rsid w:val="00D20043"/>
    <w:rsid w:val="00D224EE"/>
    <w:rsid w:val="00D26B98"/>
    <w:rsid w:val="00D344F1"/>
    <w:rsid w:val="00D34D9D"/>
    <w:rsid w:val="00D37C22"/>
    <w:rsid w:val="00D42676"/>
    <w:rsid w:val="00D50FD1"/>
    <w:rsid w:val="00D541A1"/>
    <w:rsid w:val="00D6033B"/>
    <w:rsid w:val="00D6264C"/>
    <w:rsid w:val="00D7302B"/>
    <w:rsid w:val="00D75C72"/>
    <w:rsid w:val="00D779C4"/>
    <w:rsid w:val="00D82BCE"/>
    <w:rsid w:val="00D833FB"/>
    <w:rsid w:val="00D83A99"/>
    <w:rsid w:val="00D900D0"/>
    <w:rsid w:val="00D968E5"/>
    <w:rsid w:val="00DB125E"/>
    <w:rsid w:val="00DB2104"/>
    <w:rsid w:val="00DB3C65"/>
    <w:rsid w:val="00DB7553"/>
    <w:rsid w:val="00DC16C2"/>
    <w:rsid w:val="00DD4221"/>
    <w:rsid w:val="00DD6CB2"/>
    <w:rsid w:val="00DE190D"/>
    <w:rsid w:val="00DE37E7"/>
    <w:rsid w:val="00DF75A5"/>
    <w:rsid w:val="00E013DA"/>
    <w:rsid w:val="00E07F4F"/>
    <w:rsid w:val="00E10315"/>
    <w:rsid w:val="00E13B75"/>
    <w:rsid w:val="00E13F52"/>
    <w:rsid w:val="00E21921"/>
    <w:rsid w:val="00E260C5"/>
    <w:rsid w:val="00E30F0E"/>
    <w:rsid w:val="00E36130"/>
    <w:rsid w:val="00E40CFA"/>
    <w:rsid w:val="00E4430E"/>
    <w:rsid w:val="00E479A4"/>
    <w:rsid w:val="00E50966"/>
    <w:rsid w:val="00E521A1"/>
    <w:rsid w:val="00E62DDE"/>
    <w:rsid w:val="00E655E3"/>
    <w:rsid w:val="00E6670D"/>
    <w:rsid w:val="00E80D75"/>
    <w:rsid w:val="00E86E84"/>
    <w:rsid w:val="00E873F4"/>
    <w:rsid w:val="00E87DC6"/>
    <w:rsid w:val="00E9011D"/>
    <w:rsid w:val="00E94446"/>
    <w:rsid w:val="00E94E2E"/>
    <w:rsid w:val="00EA039D"/>
    <w:rsid w:val="00EA45E1"/>
    <w:rsid w:val="00EA57C9"/>
    <w:rsid w:val="00EB27B1"/>
    <w:rsid w:val="00EB7135"/>
    <w:rsid w:val="00EB72AD"/>
    <w:rsid w:val="00EC21DA"/>
    <w:rsid w:val="00EC45C8"/>
    <w:rsid w:val="00EC5E35"/>
    <w:rsid w:val="00EC66F1"/>
    <w:rsid w:val="00EC7B3F"/>
    <w:rsid w:val="00ED33D9"/>
    <w:rsid w:val="00ED510A"/>
    <w:rsid w:val="00EE3A87"/>
    <w:rsid w:val="00EF36B7"/>
    <w:rsid w:val="00EF4CED"/>
    <w:rsid w:val="00F0406D"/>
    <w:rsid w:val="00F04B44"/>
    <w:rsid w:val="00F05023"/>
    <w:rsid w:val="00F07C59"/>
    <w:rsid w:val="00F07E56"/>
    <w:rsid w:val="00F11E3D"/>
    <w:rsid w:val="00F1681B"/>
    <w:rsid w:val="00F20410"/>
    <w:rsid w:val="00F20812"/>
    <w:rsid w:val="00F20AEA"/>
    <w:rsid w:val="00F20BEA"/>
    <w:rsid w:val="00F32C71"/>
    <w:rsid w:val="00F416B5"/>
    <w:rsid w:val="00F44942"/>
    <w:rsid w:val="00F50686"/>
    <w:rsid w:val="00F54722"/>
    <w:rsid w:val="00F60E74"/>
    <w:rsid w:val="00F61B12"/>
    <w:rsid w:val="00F64373"/>
    <w:rsid w:val="00F66CBB"/>
    <w:rsid w:val="00F67536"/>
    <w:rsid w:val="00F761BC"/>
    <w:rsid w:val="00F76DFF"/>
    <w:rsid w:val="00F923C5"/>
    <w:rsid w:val="00F93565"/>
    <w:rsid w:val="00FA0D7D"/>
    <w:rsid w:val="00FA363F"/>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8F5E9"/>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9774-0355-4803-A406-809069EB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4680</Words>
  <Characters>26682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16</cp:revision>
  <cp:lastPrinted>2021-09-30T14:24:00Z</cp:lastPrinted>
  <dcterms:created xsi:type="dcterms:W3CDTF">2021-09-30T05:41:00Z</dcterms:created>
  <dcterms:modified xsi:type="dcterms:W3CDTF">2021-09-30T16:45:00Z</dcterms:modified>
</cp:coreProperties>
</file>